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369DF" w14:textId="77777777" w:rsidR="005E235E" w:rsidRDefault="005E235E" w:rsidP="005E235E">
      <w:pPr>
        <w:pStyle w:val="Heading01Yellow"/>
        <w:jc w:val="center"/>
        <w:rPr>
          <w:sz w:val="96"/>
        </w:rPr>
      </w:pPr>
    </w:p>
    <w:p w14:paraId="27415267" w14:textId="77777777" w:rsidR="003B70F6" w:rsidRPr="001177D3" w:rsidRDefault="003B70F6" w:rsidP="003B70F6">
      <w:pPr>
        <w:pStyle w:val="Heading01Blue"/>
        <w:ind w:left="-426"/>
        <w:jc w:val="center"/>
        <w:rPr>
          <w:b w:val="0"/>
          <w:noProof/>
          <w:color w:val="D8AE18"/>
          <w:sz w:val="72"/>
          <w:szCs w:val="58"/>
          <w:lang w:eastAsia="en-AU"/>
        </w:rPr>
      </w:pPr>
      <w:r w:rsidRPr="001177D3">
        <w:rPr>
          <w:b w:val="0"/>
          <w:noProof/>
          <w:color w:val="D8AE18"/>
          <w:sz w:val="72"/>
          <w:szCs w:val="58"/>
          <w:lang w:eastAsia="en-AU"/>
        </w:rPr>
        <w:t>Household Hazardous Waste Program</w:t>
      </w:r>
    </w:p>
    <w:p w14:paraId="1003015A" w14:textId="77777777" w:rsidR="006E3BCA" w:rsidRDefault="003B70F6" w:rsidP="003B70F6">
      <w:pPr>
        <w:ind w:left="-426"/>
        <w:jc w:val="center"/>
        <w:rPr>
          <w:b/>
          <w:color w:val="205686"/>
          <w:sz w:val="52"/>
          <w:szCs w:val="44"/>
        </w:rPr>
      </w:pPr>
      <w:r w:rsidRPr="001177D3">
        <w:rPr>
          <w:b/>
          <w:color w:val="205686"/>
          <w:sz w:val="52"/>
          <w:szCs w:val="44"/>
        </w:rPr>
        <w:t>Memorandum of Understanding between Parties</w:t>
      </w:r>
    </w:p>
    <w:p w14:paraId="4ED8DF96" w14:textId="71066FE8" w:rsidR="00FE72EE" w:rsidRDefault="00FE72EE" w:rsidP="003B70F6">
      <w:pPr>
        <w:ind w:left="-426"/>
        <w:jc w:val="center"/>
        <w:rPr>
          <w:b/>
          <w:color w:val="205686"/>
          <w:sz w:val="52"/>
          <w:szCs w:val="44"/>
        </w:rPr>
      </w:pPr>
      <w:r>
        <w:rPr>
          <w:b/>
          <w:color w:val="205686"/>
          <w:sz w:val="52"/>
          <w:szCs w:val="44"/>
        </w:rPr>
        <w:t>New HHW Permanent Facilities</w:t>
      </w:r>
    </w:p>
    <w:p w14:paraId="5E579B8E" w14:textId="3CA59155" w:rsidR="00204293" w:rsidRPr="001177D3" w:rsidRDefault="00ED7D94" w:rsidP="003B70F6">
      <w:pPr>
        <w:ind w:left="-426"/>
        <w:jc w:val="center"/>
        <w:rPr>
          <w:sz w:val="52"/>
          <w:szCs w:val="44"/>
          <w:lang w:val="en-GB"/>
        </w:rPr>
      </w:pPr>
      <w:r>
        <w:rPr>
          <w:b/>
          <w:color w:val="205686"/>
          <w:sz w:val="52"/>
          <w:szCs w:val="44"/>
        </w:rPr>
        <w:t>2019</w:t>
      </w:r>
      <w:r w:rsidR="00204293">
        <w:rPr>
          <w:b/>
          <w:color w:val="205686"/>
          <w:sz w:val="52"/>
          <w:szCs w:val="44"/>
        </w:rPr>
        <w:t xml:space="preserve"> - 2023</w:t>
      </w:r>
    </w:p>
    <w:p w14:paraId="61F789D3" w14:textId="77777777" w:rsidR="005E235E" w:rsidRDefault="006E3BCA" w:rsidP="005E235E">
      <w:pPr>
        <w:spacing w:before="120" w:after="120"/>
      </w:pPr>
      <w:r>
        <w:br w:type="page"/>
      </w:r>
    </w:p>
    <w:p w14:paraId="706F4B6D" w14:textId="77777777" w:rsidR="00841E99" w:rsidRDefault="003B70F6" w:rsidP="00841E99">
      <w:pPr>
        <w:pStyle w:val="Heading1"/>
      </w:pPr>
      <w:r>
        <w:lastRenderedPageBreak/>
        <w:t>The Parties</w:t>
      </w:r>
    </w:p>
    <w:p w14:paraId="78AD8463" w14:textId="77777777" w:rsidR="003B70F6" w:rsidRPr="003B70F6" w:rsidRDefault="003B70F6" w:rsidP="003B70F6">
      <w:pPr>
        <w:rPr>
          <w:lang w:val="en-GB"/>
        </w:rPr>
      </w:pPr>
      <w:r w:rsidRPr="003B70F6">
        <w:rPr>
          <w:lang w:val="en-GB"/>
        </w:rPr>
        <w:t>The Parties to the Memorandum of Understanding (MOU) are:</w:t>
      </w:r>
    </w:p>
    <w:p w14:paraId="33BCCA78" w14:textId="77777777" w:rsidR="003B70F6" w:rsidRPr="003B70F6" w:rsidRDefault="003B70F6" w:rsidP="003B70F6">
      <w:pPr>
        <w:pStyle w:val="ListParagraph"/>
        <w:numPr>
          <w:ilvl w:val="0"/>
          <w:numId w:val="12"/>
        </w:numPr>
      </w:pPr>
      <w:r w:rsidRPr="003B70F6">
        <w:t xml:space="preserve">The Western Australian Local </w:t>
      </w:r>
      <w:r w:rsidR="001177D3">
        <w:t>Government Association (WALGA)</w:t>
      </w:r>
      <w:r w:rsidRPr="003B70F6">
        <w:t xml:space="preserve"> and</w:t>
      </w:r>
    </w:p>
    <w:p w14:paraId="6CB024D9" w14:textId="77777777" w:rsidR="003B70F6" w:rsidRPr="003B70F6" w:rsidRDefault="003B70F6" w:rsidP="003B70F6">
      <w:pPr>
        <w:pStyle w:val="ListParagraph"/>
        <w:numPr>
          <w:ilvl w:val="0"/>
          <w:numId w:val="12"/>
        </w:numPr>
      </w:pPr>
      <w:r w:rsidRPr="003B70F6">
        <w:t xml:space="preserve">The </w:t>
      </w:r>
      <w:r w:rsidRPr="00D84885">
        <w:rPr>
          <w:highlight w:val="yellow"/>
        </w:rPr>
        <w:t>Insert LG/RC name here.</w:t>
      </w:r>
    </w:p>
    <w:p w14:paraId="3C828F12" w14:textId="77777777" w:rsidR="00841E99" w:rsidRPr="00841E99" w:rsidRDefault="00D84885" w:rsidP="00841E99">
      <w:pPr>
        <w:pStyle w:val="Heading1"/>
      </w:pPr>
      <w:r>
        <w:t>Background</w:t>
      </w:r>
    </w:p>
    <w:p w14:paraId="77B7714A" w14:textId="7A1FF335" w:rsidR="00D84885" w:rsidRPr="001E5B03" w:rsidRDefault="00D84885" w:rsidP="00D84885">
      <w:pPr>
        <w:rPr>
          <w:lang w:val="en-GB"/>
        </w:rPr>
      </w:pPr>
      <w:r w:rsidRPr="00CC36CF">
        <w:rPr>
          <w:lang w:val="en-GB"/>
        </w:rPr>
        <w:t xml:space="preserve">The Household Hazardous Waste (HHW) Program </w:t>
      </w:r>
      <w:r w:rsidR="00306C71">
        <w:rPr>
          <w:lang w:val="en-GB"/>
        </w:rPr>
        <w:t xml:space="preserve">has been running in various phases since 2008. The </w:t>
      </w:r>
      <w:r w:rsidR="00ED7D94">
        <w:rPr>
          <w:lang w:val="en-GB"/>
        </w:rPr>
        <w:t xml:space="preserve">current </w:t>
      </w:r>
      <w:r w:rsidR="00306C71">
        <w:rPr>
          <w:lang w:val="en-GB"/>
        </w:rPr>
        <w:t xml:space="preserve">phase </w:t>
      </w:r>
      <w:r w:rsidR="001E5B03">
        <w:rPr>
          <w:lang w:val="en-GB"/>
        </w:rPr>
        <w:t xml:space="preserve">of the Program </w:t>
      </w:r>
      <w:r w:rsidR="00306C71">
        <w:rPr>
          <w:lang w:val="en-GB"/>
        </w:rPr>
        <w:t xml:space="preserve">will run for five years, </w:t>
      </w:r>
      <w:r w:rsidR="00306C71" w:rsidRPr="00306C71">
        <w:rPr>
          <w:lang w:val="en-GB"/>
        </w:rPr>
        <w:t xml:space="preserve">from 2018/19 until 2022/23. </w:t>
      </w:r>
      <w:r w:rsidRPr="00306C71">
        <w:rPr>
          <w:lang w:val="en-GB"/>
        </w:rPr>
        <w:t xml:space="preserve">The Program provides </w:t>
      </w:r>
      <w:r w:rsidR="001E5B03">
        <w:rPr>
          <w:lang w:val="en-GB"/>
        </w:rPr>
        <w:t xml:space="preserve">selected </w:t>
      </w:r>
      <w:r w:rsidRPr="00306C71">
        <w:rPr>
          <w:lang w:val="en-GB"/>
        </w:rPr>
        <w:t xml:space="preserve">Local Governments and </w:t>
      </w:r>
      <w:r w:rsidRPr="001E5B03">
        <w:rPr>
          <w:lang w:val="en-GB"/>
        </w:rPr>
        <w:t>Regional Councils with funding to assist with the col</w:t>
      </w:r>
      <w:r w:rsidR="00306C71" w:rsidRPr="001E5B03">
        <w:rPr>
          <w:lang w:val="en-GB"/>
        </w:rPr>
        <w:t>lection, storage and recycling/</w:t>
      </w:r>
      <w:r w:rsidRPr="001E5B03">
        <w:rPr>
          <w:lang w:val="en-GB"/>
        </w:rPr>
        <w:t xml:space="preserve">disposal of </w:t>
      </w:r>
      <w:r w:rsidR="00306C71" w:rsidRPr="001E5B03">
        <w:rPr>
          <w:lang w:val="en-GB"/>
        </w:rPr>
        <w:t>Household Hazardous W</w:t>
      </w:r>
      <w:r w:rsidRPr="001E5B03">
        <w:rPr>
          <w:lang w:val="en-GB"/>
        </w:rPr>
        <w:t>aste</w:t>
      </w:r>
      <w:r w:rsidR="00306C71" w:rsidRPr="001E5B03">
        <w:rPr>
          <w:lang w:val="en-GB"/>
        </w:rPr>
        <w:t xml:space="preserve"> </w:t>
      </w:r>
      <w:r w:rsidR="001E5B03">
        <w:rPr>
          <w:lang w:val="en-GB"/>
        </w:rPr>
        <w:t xml:space="preserve">collected </w:t>
      </w:r>
      <w:r w:rsidR="00306C71" w:rsidRPr="001E5B03">
        <w:rPr>
          <w:lang w:val="en-GB"/>
        </w:rPr>
        <w:t>from members of public</w:t>
      </w:r>
      <w:r w:rsidRPr="001E5B03">
        <w:rPr>
          <w:lang w:val="en-GB"/>
        </w:rPr>
        <w:t>. The P</w:t>
      </w:r>
      <w:r w:rsidR="001E5B03" w:rsidRPr="001E5B03">
        <w:rPr>
          <w:lang w:val="en-GB"/>
        </w:rPr>
        <w:t>rogram is administered by WALGA</w:t>
      </w:r>
      <w:r w:rsidRPr="001E5B03">
        <w:rPr>
          <w:lang w:val="en-GB"/>
        </w:rPr>
        <w:t xml:space="preserve"> and is </w:t>
      </w:r>
      <w:r w:rsidR="001E5B03" w:rsidRPr="001E5B03">
        <w:rPr>
          <w:lang w:val="en-GB"/>
        </w:rPr>
        <w:t>funded</w:t>
      </w:r>
      <w:r w:rsidRPr="001E5B03">
        <w:rPr>
          <w:lang w:val="en-GB"/>
        </w:rPr>
        <w:t xml:space="preserve"> by the Waste Authority </w:t>
      </w:r>
      <w:r w:rsidR="001E5B03" w:rsidRPr="001E5B03">
        <w:rPr>
          <w:lang w:val="en-GB"/>
        </w:rPr>
        <w:t>through</w:t>
      </w:r>
      <w:r w:rsidRPr="001E5B03">
        <w:rPr>
          <w:lang w:val="en-GB"/>
        </w:rPr>
        <w:t xml:space="preserve"> the Waste Avoidance and Resource Recovery Account. Local Governments and Regional Councils contribute to the Program in many ways, including (but not limited to):</w:t>
      </w:r>
    </w:p>
    <w:p w14:paraId="53821639" w14:textId="36C221AE" w:rsidR="006B4A7A" w:rsidRDefault="006B4A7A" w:rsidP="00D84885">
      <w:pPr>
        <w:pStyle w:val="ListParagraph"/>
        <w:numPr>
          <w:ilvl w:val="0"/>
          <w:numId w:val="12"/>
        </w:numPr>
      </w:pPr>
      <w:r>
        <w:t>Invest</w:t>
      </w:r>
      <w:r w:rsidR="00ED7D94">
        <w:t>ing</w:t>
      </w:r>
      <w:r>
        <w:t xml:space="preserve"> in infrastructure and equipment to ensure HHW Permanent facilities meet safety requirements for accepting and storing HHW.</w:t>
      </w:r>
    </w:p>
    <w:p w14:paraId="409B69BD" w14:textId="5092D991" w:rsidR="006B4A7A" w:rsidRDefault="006B4A7A" w:rsidP="00D84885">
      <w:pPr>
        <w:pStyle w:val="ListParagraph"/>
        <w:numPr>
          <w:ilvl w:val="0"/>
          <w:numId w:val="12"/>
        </w:numPr>
      </w:pPr>
      <w:r>
        <w:t>Provide staff to safely operate</w:t>
      </w:r>
      <w:r w:rsidR="00ED7D94">
        <w:t xml:space="preserve"> and maintain</w:t>
      </w:r>
      <w:r>
        <w:t xml:space="preserve"> the Permanent HHW facilities.</w:t>
      </w:r>
    </w:p>
    <w:p w14:paraId="25345A1E" w14:textId="2CAC62BF" w:rsidR="00E112A5" w:rsidRDefault="00ED7D94" w:rsidP="00E112A5">
      <w:pPr>
        <w:pStyle w:val="ListParagraph"/>
        <w:numPr>
          <w:ilvl w:val="0"/>
          <w:numId w:val="12"/>
        </w:numPr>
      </w:pPr>
      <w:r>
        <w:t xml:space="preserve">Participate in </w:t>
      </w:r>
      <w:r w:rsidR="00D84885" w:rsidRPr="00E112A5">
        <w:t>awareness/promoti</w:t>
      </w:r>
      <w:r w:rsidR="00E112A5" w:rsidRPr="00E112A5">
        <w:t xml:space="preserve">onal campaigns </w:t>
      </w:r>
      <w:r>
        <w:t>for HHW</w:t>
      </w:r>
      <w:r w:rsidR="006B4A7A">
        <w:t>.</w:t>
      </w:r>
    </w:p>
    <w:p w14:paraId="6471FE4C" w14:textId="77777777" w:rsidR="00841E99" w:rsidRDefault="00D84885" w:rsidP="00841E99">
      <w:pPr>
        <w:pStyle w:val="ListParagraph"/>
        <w:numPr>
          <w:ilvl w:val="0"/>
          <w:numId w:val="12"/>
        </w:numPr>
      </w:pPr>
      <w:r w:rsidRPr="00E112A5">
        <w:t>P</w:t>
      </w:r>
      <w:r w:rsidR="006B4A7A">
        <w:t>articipate</w:t>
      </w:r>
      <w:r w:rsidRPr="00E112A5">
        <w:t xml:space="preserve"> in </w:t>
      </w:r>
      <w:r w:rsidR="006B4A7A">
        <w:t>developing</w:t>
      </w:r>
      <w:r w:rsidRPr="00E112A5">
        <w:t xml:space="preserve"> documents which form part of the HHW Program (e.g. input into reports</w:t>
      </w:r>
      <w:r w:rsidR="00E112A5" w:rsidRPr="00E112A5">
        <w:t>, training</w:t>
      </w:r>
      <w:r w:rsidR="00E112A5">
        <w:t xml:space="preserve"> or submissions)</w:t>
      </w:r>
      <w:r w:rsidR="006B4A7A">
        <w:t>.</w:t>
      </w:r>
    </w:p>
    <w:p w14:paraId="04359BCE" w14:textId="77777777" w:rsidR="006B4A7A" w:rsidRDefault="006B4A7A" w:rsidP="006B4A7A">
      <w:pPr>
        <w:pStyle w:val="ListParagraph"/>
        <w:numPr>
          <w:ilvl w:val="0"/>
          <w:numId w:val="12"/>
        </w:numPr>
      </w:pPr>
      <w:r>
        <w:t>Allow non-residents of the partic</w:t>
      </w:r>
      <w:r w:rsidR="002643AB">
        <w:t>ular Local Government/Regional C</w:t>
      </w:r>
      <w:r>
        <w:t>ouncil to access the HHW facility.</w:t>
      </w:r>
    </w:p>
    <w:p w14:paraId="17A6DA6C" w14:textId="77777777" w:rsidR="00C867FC" w:rsidRDefault="00C867FC" w:rsidP="006B4A7A">
      <w:pPr>
        <w:pStyle w:val="ListParagraph"/>
        <w:numPr>
          <w:ilvl w:val="0"/>
          <w:numId w:val="12"/>
        </w:numPr>
      </w:pPr>
      <w:r>
        <w:t xml:space="preserve">Accept all materials in scope as detailed in Appendix 2. </w:t>
      </w:r>
    </w:p>
    <w:p w14:paraId="259576BF" w14:textId="77777777" w:rsidR="00841E99" w:rsidRPr="00841E99" w:rsidRDefault="00D84885" w:rsidP="00D84885">
      <w:pPr>
        <w:pStyle w:val="Heading1"/>
      </w:pPr>
      <w:r w:rsidRPr="00D84885">
        <w:t>Purpose, Scope and Term</w:t>
      </w:r>
      <w:r>
        <w:t>s</w:t>
      </w:r>
      <w:r w:rsidRPr="00D84885">
        <w:t xml:space="preserve"> of the MOU</w:t>
      </w:r>
    </w:p>
    <w:p w14:paraId="71F94F95" w14:textId="77777777" w:rsidR="00D84885" w:rsidRPr="001938AE" w:rsidRDefault="00D84885" w:rsidP="00D84885">
      <w:r w:rsidRPr="001938AE">
        <w:t>The purpose of this MOU is to outline the roles and responsibilities of the Parties in relation to their involvement in the Household Hazardous Waste Program, to enhance cooperation between the Parties and facilitate the successful running of the Program.</w:t>
      </w:r>
    </w:p>
    <w:p w14:paraId="046EEAF0" w14:textId="77777777" w:rsidR="00D84885" w:rsidRPr="001938AE" w:rsidRDefault="00D84885" w:rsidP="00D84885">
      <w:r w:rsidRPr="001938AE">
        <w:t xml:space="preserve">The MOU cannot restrict any of the Parties in the performance of their functions or exercise of their legal powers and it has no authority in law. Notwithstanding this, WALGA and the </w:t>
      </w:r>
      <w:r w:rsidRPr="00D84885">
        <w:rPr>
          <w:highlight w:val="yellow"/>
        </w:rPr>
        <w:t>Insert LG/RC name here</w:t>
      </w:r>
      <w:r>
        <w:t xml:space="preserve"> </w:t>
      </w:r>
      <w:r w:rsidRPr="001938AE">
        <w:t xml:space="preserve">agree that identifying the duties of each Party through the MOU will benefit all Parties as well as the general community who participate in the Household Hazardous Waste Program. </w:t>
      </w:r>
    </w:p>
    <w:p w14:paraId="2E37AA91" w14:textId="77777777" w:rsidR="00D84885" w:rsidRPr="001938AE" w:rsidRDefault="00D84885" w:rsidP="00D84885">
      <w:r w:rsidRPr="001938AE">
        <w:t>The MOU will remain in place from the</w:t>
      </w:r>
      <w:r w:rsidR="001938AE" w:rsidRPr="001938AE">
        <w:t xml:space="preserve"> date of signing to 30 June 2023,</w:t>
      </w:r>
      <w:r w:rsidRPr="001938AE">
        <w:t xml:space="preserve"> or until its replacement with a revised MOU or cancellation. The MOU may be cancelled by mutual agreement.</w:t>
      </w:r>
    </w:p>
    <w:p w14:paraId="28974B0D" w14:textId="77777777" w:rsidR="00D84885" w:rsidRPr="00841E99" w:rsidRDefault="00D84885" w:rsidP="00D84885">
      <w:pPr>
        <w:pStyle w:val="Heading1"/>
      </w:pPr>
      <w:r w:rsidRPr="00D84885">
        <w:t>Roles and Responsibilities</w:t>
      </w:r>
    </w:p>
    <w:p w14:paraId="4F270B69" w14:textId="77777777" w:rsidR="00D84885" w:rsidRPr="00246485" w:rsidRDefault="00D84885" w:rsidP="00D84885">
      <w:r w:rsidRPr="00246485">
        <w:t>In seeking to fulfil the purpose of this MOU, WALGA agrees to:</w:t>
      </w:r>
    </w:p>
    <w:p w14:paraId="27EDA53F" w14:textId="21EFF0B7" w:rsidR="00D84885" w:rsidRPr="002B71C5" w:rsidRDefault="00D84885" w:rsidP="00D84885">
      <w:pPr>
        <w:pStyle w:val="ListParagraph"/>
        <w:numPr>
          <w:ilvl w:val="0"/>
          <w:numId w:val="12"/>
        </w:numPr>
      </w:pPr>
      <w:r w:rsidRPr="002B71C5">
        <w:t xml:space="preserve">Collect and collate the records of all Local Government/Regional Council contributions to the HHW Program, including in-kind contributions (see Appendix 1) for input to HHW </w:t>
      </w:r>
      <w:r w:rsidRPr="002B71C5">
        <w:lastRenderedPageBreak/>
        <w:t>Program reports in aggregated form (not on an individual Local Government/Regional Council basis)</w:t>
      </w:r>
      <w:r w:rsidR="00361F65">
        <w:t>.</w:t>
      </w:r>
    </w:p>
    <w:p w14:paraId="62E91D27" w14:textId="77777777" w:rsidR="00D84885" w:rsidRDefault="00D84885" w:rsidP="00D84885">
      <w:pPr>
        <w:pStyle w:val="ListParagraph"/>
        <w:numPr>
          <w:ilvl w:val="0"/>
          <w:numId w:val="12"/>
        </w:numPr>
      </w:pPr>
      <w:r w:rsidRPr="002B71C5">
        <w:t xml:space="preserve">Liaise with the HHW Program </w:t>
      </w:r>
      <w:r w:rsidR="00232E44">
        <w:t xml:space="preserve">waste </w:t>
      </w:r>
      <w:r w:rsidRPr="002B71C5">
        <w:t xml:space="preserve">contractor and Local Governments/Regional Councils to establish safe and efficient systems for </w:t>
      </w:r>
      <w:r w:rsidR="002B71C5" w:rsidRPr="002B71C5">
        <w:t>sorting and storing HHW at the P</w:t>
      </w:r>
      <w:r w:rsidRPr="002B71C5">
        <w:t>ermanent HHW facilities in a manner that enhances opportunities for reuse/recycling of the material, and reduce</w:t>
      </w:r>
      <w:r w:rsidR="00A87BDD">
        <w:t>s transport and disposal costs.</w:t>
      </w:r>
    </w:p>
    <w:p w14:paraId="24105502" w14:textId="77777777" w:rsidR="00A87BDD" w:rsidRPr="00A87BDD" w:rsidRDefault="00A87BDD" w:rsidP="00A87BDD">
      <w:pPr>
        <w:pStyle w:val="ListParagraph"/>
        <w:numPr>
          <w:ilvl w:val="0"/>
          <w:numId w:val="12"/>
        </w:numPr>
      </w:pPr>
      <w:r w:rsidRPr="00A87BDD">
        <w:t>Organise meetings with the HHW operators to discuss and resolve operational issues.</w:t>
      </w:r>
    </w:p>
    <w:p w14:paraId="219A0086" w14:textId="77777777" w:rsidR="00A87BDD" w:rsidRDefault="00A87BDD" w:rsidP="00A87BDD">
      <w:pPr>
        <w:pStyle w:val="ListParagraph"/>
        <w:numPr>
          <w:ilvl w:val="0"/>
          <w:numId w:val="12"/>
        </w:numPr>
      </w:pPr>
      <w:r w:rsidRPr="00A87BDD">
        <w:t xml:space="preserve">Organise training for Permanent facility staff to learn the safe acceptance, handling and storage of </w:t>
      </w:r>
      <w:r>
        <w:t>HHW</w:t>
      </w:r>
      <w:r w:rsidRPr="00A87BDD">
        <w:t xml:space="preserve"> materials.</w:t>
      </w:r>
    </w:p>
    <w:p w14:paraId="2C12E381" w14:textId="77777777" w:rsidR="002B71C5" w:rsidRPr="002B71C5" w:rsidRDefault="00D84885" w:rsidP="00A87BDD">
      <w:r w:rsidRPr="002B71C5">
        <w:t>The HHW Program will fund</w:t>
      </w:r>
      <w:r w:rsidR="002B71C5" w:rsidRPr="002B71C5">
        <w:t>:</w:t>
      </w:r>
    </w:p>
    <w:p w14:paraId="6BAEA8FF" w14:textId="77777777" w:rsidR="002B71C5" w:rsidRPr="002B71C5" w:rsidRDefault="002B71C5" w:rsidP="00361F65">
      <w:pPr>
        <w:pStyle w:val="ListParagraph"/>
        <w:numPr>
          <w:ilvl w:val="0"/>
          <w:numId w:val="12"/>
        </w:numPr>
      </w:pPr>
      <w:bookmarkStart w:id="0" w:name="_GoBack"/>
      <w:r w:rsidRPr="002B71C5">
        <w:t>T</w:t>
      </w:r>
      <w:r w:rsidR="00D84885" w:rsidRPr="002B71C5">
        <w:t xml:space="preserve">he hiring of any </w:t>
      </w:r>
      <w:r w:rsidRPr="002B71C5">
        <w:t xml:space="preserve">bulk storage </w:t>
      </w:r>
      <w:r w:rsidR="00D84885" w:rsidRPr="002B71C5">
        <w:t xml:space="preserve">containers (e.g. </w:t>
      </w:r>
      <w:r w:rsidRPr="002B71C5">
        <w:t xml:space="preserve">battery </w:t>
      </w:r>
      <w:r w:rsidR="00D84885" w:rsidRPr="002B71C5">
        <w:t xml:space="preserve">drums, </w:t>
      </w:r>
      <w:r w:rsidR="00A87BDD" w:rsidRPr="002B71C5">
        <w:t>gas cylinder cages</w:t>
      </w:r>
      <w:r w:rsidR="00A87BDD">
        <w:t>,</w:t>
      </w:r>
      <w:r w:rsidR="00A87BDD" w:rsidRPr="002B71C5">
        <w:t xml:space="preserve"> </w:t>
      </w:r>
      <w:r w:rsidRPr="002B71C5">
        <w:t xml:space="preserve">fluoro or paint </w:t>
      </w:r>
      <w:r w:rsidR="00D84885" w:rsidRPr="002B71C5">
        <w:t xml:space="preserve">stillages) required </w:t>
      </w:r>
      <w:r w:rsidR="00A87BDD">
        <w:t xml:space="preserve">on site </w:t>
      </w:r>
      <w:r w:rsidR="00D84885" w:rsidRPr="002B71C5">
        <w:t xml:space="preserve">for </w:t>
      </w:r>
      <w:r w:rsidRPr="002B71C5">
        <w:t xml:space="preserve">transport/storage of bulk </w:t>
      </w:r>
      <w:r w:rsidR="00D84885" w:rsidRPr="002B71C5">
        <w:t>HHW</w:t>
      </w:r>
      <w:r w:rsidR="00A87BDD">
        <w:t>.</w:t>
      </w:r>
    </w:p>
    <w:p w14:paraId="26963660" w14:textId="77777777" w:rsidR="002B71C5" w:rsidRPr="002B71C5" w:rsidRDefault="002B71C5" w:rsidP="00361F65">
      <w:pPr>
        <w:pStyle w:val="ListParagraph"/>
        <w:numPr>
          <w:ilvl w:val="0"/>
          <w:numId w:val="12"/>
        </w:numPr>
      </w:pPr>
      <w:r w:rsidRPr="002B71C5">
        <w:t xml:space="preserve">The collection </w:t>
      </w:r>
      <w:r w:rsidR="00D84885" w:rsidRPr="002B71C5">
        <w:t>and transport</w:t>
      </w:r>
      <w:r w:rsidRPr="002B71C5">
        <w:t xml:space="preserve"> of HHW from the Permanent facility by the Program contractor</w:t>
      </w:r>
      <w:r w:rsidR="00A87BDD">
        <w:t>.</w:t>
      </w:r>
    </w:p>
    <w:p w14:paraId="6BB0BE8A" w14:textId="77777777" w:rsidR="002B71C5" w:rsidRDefault="002B71C5" w:rsidP="00361F65">
      <w:pPr>
        <w:pStyle w:val="ListParagraph"/>
        <w:numPr>
          <w:ilvl w:val="0"/>
          <w:numId w:val="12"/>
        </w:numPr>
      </w:pPr>
      <w:r w:rsidRPr="002B71C5">
        <w:t>T</w:t>
      </w:r>
      <w:r w:rsidR="00D84885" w:rsidRPr="002B71C5">
        <w:t>he recycling/disposal of the HHW collected fro</w:t>
      </w:r>
      <w:r w:rsidR="002643AB">
        <w:t>m the P</w:t>
      </w:r>
      <w:r w:rsidRPr="002B71C5">
        <w:t>ermanent HHW facilities.</w:t>
      </w:r>
    </w:p>
    <w:p w14:paraId="768AA0C7" w14:textId="77777777" w:rsidR="00A87BDD" w:rsidRPr="002B71C5" w:rsidRDefault="00A87BDD" w:rsidP="00361F65">
      <w:pPr>
        <w:pStyle w:val="ListParagraph"/>
        <w:numPr>
          <w:ilvl w:val="0"/>
          <w:numId w:val="12"/>
        </w:numPr>
      </w:pPr>
      <w:r>
        <w:t>HHW training to Permanent facility staff.</w:t>
      </w:r>
    </w:p>
    <w:bookmarkEnd w:id="0"/>
    <w:p w14:paraId="3F46DAD1" w14:textId="77777777" w:rsidR="00D84885" w:rsidRPr="002B71C5" w:rsidRDefault="00D84885" w:rsidP="002937C5">
      <w:pPr>
        <w:rPr>
          <w:color w:val="FF0000"/>
        </w:rPr>
      </w:pPr>
      <w:r w:rsidRPr="002B71C5">
        <w:t xml:space="preserve">The types of materials that are covered under the HHW </w:t>
      </w:r>
      <w:r w:rsidRPr="00232E44">
        <w:t>Program are listed in Appendix 2</w:t>
      </w:r>
      <w:r w:rsidR="002B71C5" w:rsidRPr="00232E44">
        <w:t>.</w:t>
      </w:r>
    </w:p>
    <w:p w14:paraId="1C456CC1" w14:textId="77777777" w:rsidR="00D84885" w:rsidRPr="00A8510C" w:rsidRDefault="00D84885" w:rsidP="00D84885">
      <w:r w:rsidRPr="002937C5">
        <w:t xml:space="preserve">In seeking to fulfil the purpose of this MOU, the </w:t>
      </w:r>
      <w:r w:rsidRPr="00D84885">
        <w:rPr>
          <w:highlight w:val="yellow"/>
        </w:rPr>
        <w:t>Insert LG/RC name here</w:t>
      </w:r>
      <w:r w:rsidRPr="00D84885">
        <w:t xml:space="preserve"> </w:t>
      </w:r>
      <w:r w:rsidRPr="002937C5">
        <w:t>agrees to:</w:t>
      </w:r>
    </w:p>
    <w:p w14:paraId="007EE140" w14:textId="2F77F4AD" w:rsidR="00484571" w:rsidRPr="00484571" w:rsidRDefault="00484571" w:rsidP="00484571">
      <w:pPr>
        <w:pStyle w:val="ListParagraph"/>
        <w:numPr>
          <w:ilvl w:val="0"/>
          <w:numId w:val="12"/>
        </w:numPr>
      </w:pPr>
      <w:r w:rsidRPr="00484571">
        <w:t>Build a suitable HHW storage facility (please see Guidelines for the Design and Operation of Facilities for the Acceptance and Storage of Household Hazardous Waste for a detailed look at the requirements).</w:t>
      </w:r>
    </w:p>
    <w:p w14:paraId="346F51CF" w14:textId="309063A6" w:rsidR="00484571" w:rsidRDefault="00484571" w:rsidP="00484571">
      <w:pPr>
        <w:pStyle w:val="ListParagraph"/>
        <w:numPr>
          <w:ilvl w:val="0"/>
          <w:numId w:val="12"/>
        </w:numPr>
      </w:pPr>
      <w:r w:rsidRPr="00484571">
        <w:t xml:space="preserve">The </w:t>
      </w:r>
      <w:r w:rsidRPr="00484571">
        <w:rPr>
          <w:highlight w:val="yellow"/>
        </w:rPr>
        <w:t>Insert LG/RC name here</w:t>
      </w:r>
      <w:r w:rsidRPr="00484571">
        <w:t xml:space="preserve"> agrees to fund the operation and maintenance of the permanent HHW facility. This may include (but is not limited to) the activities listed in Appendix 1.</w:t>
      </w:r>
    </w:p>
    <w:p w14:paraId="1060A536" w14:textId="77777777" w:rsidR="00484571" w:rsidRPr="00484571" w:rsidRDefault="00484571" w:rsidP="00484571">
      <w:pPr>
        <w:pStyle w:val="ListParagraph"/>
        <w:numPr>
          <w:ilvl w:val="0"/>
          <w:numId w:val="12"/>
        </w:numPr>
        <w:spacing w:after="0"/>
      </w:pPr>
      <w:r w:rsidRPr="00484571">
        <w:t>Have your site licenced (either through a new licence application or amending existing licence) to ensure storage of HHW materials.</w:t>
      </w:r>
    </w:p>
    <w:p w14:paraId="5772E1E6" w14:textId="77777777" w:rsidR="00484571" w:rsidRPr="00484571" w:rsidRDefault="00484571" w:rsidP="00484571">
      <w:pPr>
        <w:pStyle w:val="ListParagraph"/>
        <w:numPr>
          <w:ilvl w:val="0"/>
          <w:numId w:val="12"/>
        </w:numPr>
        <w:spacing w:after="0"/>
      </w:pPr>
      <w:r w:rsidRPr="00484571">
        <w:t>Become a Paintback collection site (for public and business painters) and ensure your LG/RC takes all practical steps, such as participating in other product stewardship schemes, to reduce costs to the HHW Program.</w:t>
      </w:r>
    </w:p>
    <w:p w14:paraId="2E69E003" w14:textId="77777777" w:rsidR="00D84885" w:rsidRPr="00484571" w:rsidRDefault="00D84885" w:rsidP="00484571">
      <w:pPr>
        <w:pStyle w:val="ListParagraph"/>
        <w:numPr>
          <w:ilvl w:val="0"/>
          <w:numId w:val="12"/>
        </w:numPr>
      </w:pPr>
      <w:r w:rsidRPr="00484571">
        <w:t>Maintain records of all contributions to the HHW Program, including in-kind contributions, using the activities list provided in Appendix 1. These records will be provided to WALGA at the end of each financial year (30 June), or on request, for input to HHW Program reports.</w:t>
      </w:r>
    </w:p>
    <w:p w14:paraId="2EC399E6" w14:textId="77777777" w:rsidR="00767F79" w:rsidRPr="00484571" w:rsidRDefault="00777DBD" w:rsidP="00484571">
      <w:pPr>
        <w:pStyle w:val="ListParagraph"/>
        <w:numPr>
          <w:ilvl w:val="0"/>
          <w:numId w:val="12"/>
        </w:numPr>
      </w:pPr>
      <w:r w:rsidRPr="00484571">
        <w:t>R</w:t>
      </w:r>
      <w:r w:rsidR="00767F79" w:rsidRPr="00484571">
        <w:t xml:space="preserve">ecord and report to WALGA the percentage of time </w:t>
      </w:r>
      <w:r w:rsidRPr="00484571">
        <w:t>in each year</w:t>
      </w:r>
      <w:r w:rsidR="002643AB" w:rsidRPr="00484571">
        <w:t xml:space="preserve"> that</w:t>
      </w:r>
      <w:r w:rsidRPr="00484571">
        <w:t xml:space="preserve"> staff </w:t>
      </w:r>
      <w:r w:rsidR="002643AB" w:rsidRPr="00484571">
        <w:t>with HHW training were working at the HHW Permanent facility.</w:t>
      </w:r>
    </w:p>
    <w:p w14:paraId="20F3D8FC" w14:textId="77777777" w:rsidR="00D84885" w:rsidRPr="00484571" w:rsidRDefault="00704181" w:rsidP="00484571">
      <w:pPr>
        <w:pStyle w:val="ListParagraph"/>
        <w:numPr>
          <w:ilvl w:val="0"/>
          <w:numId w:val="12"/>
        </w:numPr>
      </w:pPr>
      <w:r w:rsidRPr="00484571">
        <w:t xml:space="preserve">Sort, </w:t>
      </w:r>
      <w:r w:rsidR="00D84885" w:rsidRPr="00484571">
        <w:t>store</w:t>
      </w:r>
      <w:r w:rsidRPr="00484571">
        <w:t xml:space="preserve"> and aggregate</w:t>
      </w:r>
      <w:r w:rsidR="00D84885" w:rsidRPr="00484571">
        <w:t xml:space="preserve"> HHW at the permanent HHW facilities in a safe and efficient manner that enhances opportunities </w:t>
      </w:r>
      <w:r w:rsidRPr="00484571">
        <w:t>for reducing</w:t>
      </w:r>
      <w:r w:rsidR="00D84885" w:rsidRPr="00484571">
        <w:t xml:space="preserve"> </w:t>
      </w:r>
      <w:r w:rsidRPr="00484571">
        <w:t>t</w:t>
      </w:r>
      <w:r w:rsidR="00D84885" w:rsidRPr="00484571">
        <w:t xml:space="preserve">ransport and disposal costs. This will include working with the Program’s </w:t>
      </w:r>
      <w:r w:rsidRPr="00484571">
        <w:t xml:space="preserve">waste </w:t>
      </w:r>
      <w:r w:rsidR="002937C5" w:rsidRPr="00484571">
        <w:t>contractor</w:t>
      </w:r>
      <w:r w:rsidR="00D84885" w:rsidRPr="00484571">
        <w:t xml:space="preserve"> to ensure </w:t>
      </w:r>
      <w:r w:rsidR="002937C5" w:rsidRPr="00484571">
        <w:t xml:space="preserve">the </w:t>
      </w:r>
      <w:r w:rsidR="00D84885" w:rsidRPr="00484571">
        <w:t xml:space="preserve">sorting and storage methods </w:t>
      </w:r>
      <w:r w:rsidR="002937C5" w:rsidRPr="00484571">
        <w:t xml:space="preserve">assist them to </w:t>
      </w:r>
      <w:r w:rsidR="00D84885" w:rsidRPr="00484571">
        <w:t>efficient</w:t>
      </w:r>
      <w:r w:rsidR="002937C5" w:rsidRPr="00484571">
        <w:t>ly collect</w:t>
      </w:r>
      <w:r w:rsidR="00D84885" w:rsidRPr="00484571">
        <w:t xml:space="preserve"> HHW.</w:t>
      </w:r>
    </w:p>
    <w:p w14:paraId="098BF8C0" w14:textId="70EDD24B" w:rsidR="002937C5" w:rsidRDefault="00D84885" w:rsidP="00484571">
      <w:pPr>
        <w:pStyle w:val="ListParagraph"/>
        <w:numPr>
          <w:ilvl w:val="0"/>
          <w:numId w:val="12"/>
        </w:numPr>
      </w:pPr>
      <w:r w:rsidRPr="00484571">
        <w:lastRenderedPageBreak/>
        <w:t xml:space="preserve">Permit </w:t>
      </w:r>
      <w:r w:rsidR="00484571">
        <w:t>public</w:t>
      </w:r>
      <w:r w:rsidRPr="00484571">
        <w:t xml:space="preserve"> (including non-residents of the </w:t>
      </w:r>
      <w:r w:rsidRPr="00484571">
        <w:rPr>
          <w:highlight w:val="yellow"/>
        </w:rPr>
        <w:t>Insert LG/RC name here</w:t>
      </w:r>
      <w:r w:rsidRPr="00484571">
        <w:t xml:space="preserve"> area) to deposit HHW at their </w:t>
      </w:r>
      <w:r w:rsidR="00721DD6" w:rsidRPr="00484571">
        <w:t>P</w:t>
      </w:r>
      <w:r w:rsidRPr="00484571">
        <w:t>ermanent HHW facility free of charge</w:t>
      </w:r>
      <w:r w:rsidR="002937C5">
        <w:t>.</w:t>
      </w:r>
    </w:p>
    <w:p w14:paraId="59D28F47" w14:textId="77777777" w:rsidR="0048699E" w:rsidRPr="002937C5" w:rsidRDefault="0048699E" w:rsidP="00553D02">
      <w:pPr>
        <w:pStyle w:val="ListParagraph"/>
        <w:numPr>
          <w:ilvl w:val="0"/>
          <w:numId w:val="12"/>
        </w:numPr>
      </w:pPr>
      <w:r>
        <w:t xml:space="preserve">Manage the acceptance of HHW materials to only include materials accepted through the HHW Program (see Appendix 2). Any materials </w:t>
      </w:r>
      <w:r w:rsidR="005A1512">
        <w:t xml:space="preserve">that your site accepts </w:t>
      </w:r>
      <w:r>
        <w:t>out</w:t>
      </w:r>
      <w:r w:rsidR="005A1512">
        <w:t>side</w:t>
      </w:r>
      <w:r>
        <w:t xml:space="preserve"> of </w:t>
      </w:r>
      <w:r w:rsidR="005A1512">
        <w:t xml:space="preserve">the accepted materials </w:t>
      </w:r>
      <w:r>
        <w:t xml:space="preserve">scope will not be paid for by the HHW Program and must be paid for by the </w:t>
      </w:r>
      <w:r w:rsidRPr="00D84885">
        <w:rPr>
          <w:highlight w:val="yellow"/>
        </w:rPr>
        <w:t>Insert LG/RC name here</w:t>
      </w:r>
      <w:r>
        <w:t xml:space="preserve">. This includes </w:t>
      </w:r>
      <w:r w:rsidR="005A1512">
        <w:t>ensuring mat</w:t>
      </w:r>
      <w:r>
        <w:t>erials from within your own organisation (i.e. chemicals from your Parks and Gardens department)</w:t>
      </w:r>
      <w:r w:rsidR="005A1512">
        <w:t xml:space="preserve"> are not accepted</w:t>
      </w:r>
      <w:r>
        <w:t>.</w:t>
      </w:r>
    </w:p>
    <w:p w14:paraId="7DCF731A" w14:textId="77777777" w:rsidR="00D84885" w:rsidRPr="00553D02" w:rsidRDefault="00553D02" w:rsidP="00553D02">
      <w:pPr>
        <w:pStyle w:val="ListParagraph"/>
        <w:numPr>
          <w:ilvl w:val="0"/>
          <w:numId w:val="12"/>
        </w:numPr>
      </w:pPr>
      <w:r w:rsidRPr="00553D02">
        <w:t xml:space="preserve">Complete the Department of Water and Environmental Regulation’s </w:t>
      </w:r>
      <w:r w:rsidR="00D84885" w:rsidRPr="00553D02">
        <w:t>Annual Census of Local Government Waste and Recycling Services</w:t>
      </w:r>
      <w:r w:rsidR="00704181">
        <w:t xml:space="preserve"> in order to access the HHW Program funding.</w:t>
      </w:r>
    </w:p>
    <w:p w14:paraId="1A7FA442" w14:textId="77777777" w:rsidR="00D84885" w:rsidRPr="00721DD6" w:rsidRDefault="00D84885" w:rsidP="00D84885">
      <w:pPr>
        <w:pStyle w:val="ListParagraph"/>
        <w:numPr>
          <w:ilvl w:val="0"/>
          <w:numId w:val="12"/>
        </w:numPr>
      </w:pPr>
      <w:r w:rsidRPr="00721DD6">
        <w:t xml:space="preserve">Attend and/or provide input </w:t>
      </w:r>
      <w:r w:rsidR="00721DD6" w:rsidRPr="00721DD6">
        <w:t xml:space="preserve">to the HHW Operator meetings and/or </w:t>
      </w:r>
      <w:r w:rsidRPr="00721DD6">
        <w:t>the review of the terms of this MOU</w:t>
      </w:r>
      <w:r w:rsidR="00721DD6" w:rsidRPr="00721DD6">
        <w:t>.</w:t>
      </w:r>
    </w:p>
    <w:p w14:paraId="2DCD3C8A" w14:textId="77777777" w:rsidR="00A8510C" w:rsidRDefault="00D84885" w:rsidP="00D84885">
      <w:pPr>
        <w:pStyle w:val="ListParagraph"/>
        <w:numPr>
          <w:ilvl w:val="0"/>
          <w:numId w:val="12"/>
        </w:numPr>
      </w:pPr>
      <w:r w:rsidRPr="00721DD6">
        <w:t xml:space="preserve">Ensure that staff responsible for </w:t>
      </w:r>
      <w:r w:rsidR="00721DD6" w:rsidRPr="00721DD6">
        <w:t xml:space="preserve">accepting, </w:t>
      </w:r>
      <w:r w:rsidRPr="00721DD6">
        <w:t xml:space="preserve">handling and storing </w:t>
      </w:r>
      <w:r w:rsidR="00721DD6" w:rsidRPr="00721DD6">
        <w:t>HHW P</w:t>
      </w:r>
      <w:r w:rsidRPr="00721DD6">
        <w:t xml:space="preserve">ermanent facilities are appropriately trained in the safe handling and storage of </w:t>
      </w:r>
      <w:r w:rsidR="00721DD6" w:rsidRPr="00721DD6">
        <w:t>the HHW</w:t>
      </w:r>
      <w:r w:rsidRPr="00721DD6">
        <w:t xml:space="preserve"> materials.</w:t>
      </w:r>
    </w:p>
    <w:p w14:paraId="35983554" w14:textId="3F0F8D39" w:rsidR="003100D7" w:rsidRDefault="00883B12" w:rsidP="003100D7">
      <w:pPr>
        <w:pStyle w:val="ListParagraph"/>
        <w:numPr>
          <w:ilvl w:val="0"/>
          <w:numId w:val="12"/>
        </w:numPr>
      </w:pPr>
      <w:r>
        <w:t>Ensure that the HHW facilities are set up and operated to meet any legislative requirements and any relevant design and operational guidance for the storage and handling of HHW</w:t>
      </w:r>
      <w:r w:rsidR="00AF3AD1">
        <w:t>.</w:t>
      </w:r>
    </w:p>
    <w:p w14:paraId="107E94F5" w14:textId="5F5DEE8B" w:rsidR="00844582" w:rsidRDefault="00844582" w:rsidP="00844582">
      <w:pPr>
        <w:pStyle w:val="ListParagraph"/>
        <w:numPr>
          <w:ilvl w:val="0"/>
          <w:numId w:val="12"/>
        </w:numPr>
      </w:pPr>
      <w:r w:rsidRPr="00844582">
        <w:t>Participate in promotional campaigns for the HHW Program.</w:t>
      </w:r>
    </w:p>
    <w:p w14:paraId="2B429E06" w14:textId="77777777" w:rsidR="003100D7" w:rsidRDefault="00AF3AD1" w:rsidP="003100D7">
      <w:pPr>
        <w:pStyle w:val="ListParagraph"/>
        <w:numPr>
          <w:ilvl w:val="0"/>
          <w:numId w:val="12"/>
        </w:numPr>
      </w:pPr>
      <w:r>
        <w:t xml:space="preserve">Ensure that </w:t>
      </w:r>
      <w:r w:rsidR="00CC59E6">
        <w:t>any media statements, articles, and printed materials associated with the HHW Program (including advertisements, annual reports, newsletters, brochures, banners, posters and multimedia materials) must have the Waste Authority funding acknowledgement.</w:t>
      </w:r>
      <w:r w:rsidR="00CC59E6" w:rsidRPr="00CC59E6">
        <w:t xml:space="preserve"> </w:t>
      </w:r>
      <w:r w:rsidR="003100D7">
        <w:t>A</w:t>
      </w:r>
      <w:r w:rsidR="003100D7" w:rsidRPr="00CC59E6">
        <w:t xml:space="preserve">cknowledgements must include the Waste Authority logo in a prominent position (which must be obtained from the Waste Authority logo website) and must contain the words: </w:t>
      </w:r>
      <w:r w:rsidR="003100D7" w:rsidRPr="003100D7">
        <w:rPr>
          <w:i/>
        </w:rPr>
        <w:t>‘This Project is funded by the Waste Authority through the Waste Avoidance and Resource Recovery Account.’</w:t>
      </w:r>
    </w:p>
    <w:p w14:paraId="7AF221CB" w14:textId="7A54C5BD" w:rsidR="00883B12" w:rsidRDefault="003100D7" w:rsidP="00883B12">
      <w:pPr>
        <w:pStyle w:val="ListParagraph"/>
        <w:numPr>
          <w:ilvl w:val="0"/>
          <w:numId w:val="12"/>
        </w:numPr>
      </w:pPr>
      <w:r>
        <w:t xml:space="preserve">Ensure any promotional activities undertaken by the </w:t>
      </w:r>
      <w:r w:rsidRPr="00883B12">
        <w:rPr>
          <w:highlight w:val="yellow"/>
        </w:rPr>
        <w:t>Insert LG/RC name here</w:t>
      </w:r>
      <w:r w:rsidRPr="00D84885">
        <w:t xml:space="preserve"> </w:t>
      </w:r>
      <w:r>
        <w:t xml:space="preserve">for the HHW Program follow the </w:t>
      </w:r>
      <w:r w:rsidR="00883B12">
        <w:t>Waste Authority's Acknowledgement Guidelines.</w:t>
      </w:r>
    </w:p>
    <w:p w14:paraId="01104489" w14:textId="77777777" w:rsidR="00C12103" w:rsidRDefault="008F7A5C" w:rsidP="008F7A5C">
      <w:pPr>
        <w:pStyle w:val="ListParagraph"/>
        <w:numPr>
          <w:ilvl w:val="0"/>
          <w:numId w:val="12"/>
        </w:numPr>
      </w:pPr>
      <w:r w:rsidRPr="00232E44">
        <w:t xml:space="preserve">Ensure the </w:t>
      </w:r>
      <w:r w:rsidRPr="00883B12">
        <w:rPr>
          <w:highlight w:val="yellow"/>
        </w:rPr>
        <w:t>Insert LG/RC name here</w:t>
      </w:r>
      <w:r w:rsidRPr="00232E44">
        <w:t xml:space="preserve"> take</w:t>
      </w:r>
      <w:r w:rsidR="008756DB" w:rsidRPr="00232E44">
        <w:t>s</w:t>
      </w:r>
      <w:r w:rsidRPr="00232E44">
        <w:t xml:space="preserve"> </w:t>
      </w:r>
      <w:r w:rsidRPr="008756DB">
        <w:t xml:space="preserve">all practical steps, such as participating in product stewardship schemes, to reduce costs to the HHW Program. </w:t>
      </w:r>
    </w:p>
    <w:p w14:paraId="6821F610" w14:textId="7D292995" w:rsidR="00C12103" w:rsidRPr="002643AB" w:rsidRDefault="00883B12" w:rsidP="00F74DC4">
      <w:pPr>
        <w:pStyle w:val="ListParagraph"/>
        <w:numPr>
          <w:ilvl w:val="0"/>
          <w:numId w:val="12"/>
        </w:numPr>
      </w:pPr>
      <w:r>
        <w:t xml:space="preserve">Materials collected by the </w:t>
      </w:r>
      <w:r w:rsidR="00A34B6C">
        <w:t>P</w:t>
      </w:r>
      <w:r>
        <w:t xml:space="preserve">rogram are set out in Appendix 2. </w:t>
      </w:r>
      <w:r w:rsidR="00C87FD5">
        <w:t xml:space="preserve">Priority 1 materials </w:t>
      </w:r>
      <w:r>
        <w:t>are the primary materials targeted</w:t>
      </w:r>
      <w:r w:rsidR="00A34B6C">
        <w:t xml:space="preserve"> by the Program</w:t>
      </w:r>
      <w:r>
        <w:t xml:space="preserve">. Priority 2 materials </w:t>
      </w:r>
      <w:r w:rsidR="00C87FD5">
        <w:t xml:space="preserve">remain in scope </w:t>
      </w:r>
      <w:r>
        <w:t>subject to funding availability</w:t>
      </w:r>
      <w:r w:rsidR="00EA7E4B">
        <w:t xml:space="preserve">. </w:t>
      </w:r>
      <w:r w:rsidR="00E12278">
        <w:t xml:space="preserve">WALGA will investigate and pursue alternative reuse, recycling and disposal options for collected materials. </w:t>
      </w:r>
      <w:r w:rsidR="00361F65">
        <w:t>Following the conclusion of these</w:t>
      </w:r>
      <w:r w:rsidR="004478A1">
        <w:t xml:space="preserve"> investigations, </w:t>
      </w:r>
      <w:r w:rsidR="00E12278">
        <w:t>Local Governments should make reasonable efforts to ensure that materials that can be managed on site in line with license conditions should be managed on site rather than managed through the Program.</w:t>
      </w:r>
    </w:p>
    <w:p w14:paraId="79E9A9CA" w14:textId="4BEAED12" w:rsidR="00A53070" w:rsidRDefault="00A53070" w:rsidP="00C12103">
      <w:pPr>
        <w:pStyle w:val="ListParagraph"/>
        <w:numPr>
          <w:ilvl w:val="0"/>
          <w:numId w:val="12"/>
        </w:numPr>
      </w:pPr>
      <w:r>
        <w:t xml:space="preserve">Ensure if there are any HHW related emergency events, WALGA is notified </w:t>
      </w:r>
      <w:r w:rsidRPr="0041789A">
        <w:t xml:space="preserve">within </w:t>
      </w:r>
      <w:r w:rsidR="002871D6">
        <w:t>24</w:t>
      </w:r>
      <w:r w:rsidR="002871D6" w:rsidRPr="0041789A">
        <w:t xml:space="preserve"> </w:t>
      </w:r>
      <w:r>
        <w:t>hours of the incident.</w:t>
      </w:r>
    </w:p>
    <w:p w14:paraId="298E655B" w14:textId="77777777" w:rsidR="00844582" w:rsidRDefault="00844582" w:rsidP="00844582">
      <w:pPr>
        <w:pStyle w:val="ListParagraph"/>
        <w:numPr>
          <w:ilvl w:val="0"/>
          <w:numId w:val="12"/>
        </w:numPr>
      </w:pPr>
      <w:r>
        <w:t>Verify HHW collection invoices from your facility monthly.</w:t>
      </w:r>
    </w:p>
    <w:p w14:paraId="56D3291A" w14:textId="77777777" w:rsidR="00844582" w:rsidRDefault="00844582" w:rsidP="00844582">
      <w:pPr>
        <w:pStyle w:val="ListParagraph"/>
        <w:numPr>
          <w:ilvl w:val="0"/>
          <w:numId w:val="12"/>
        </w:numPr>
      </w:pPr>
      <w:r>
        <w:t>From time to time collect survey information as requested by WALGA (e.g. number of people dropping off HHW, or information on materials that are dropped off).</w:t>
      </w:r>
    </w:p>
    <w:p w14:paraId="50F23810" w14:textId="74EC5F1F" w:rsidR="00844582" w:rsidRPr="00C12103" w:rsidRDefault="00844582" w:rsidP="00844582">
      <w:pPr>
        <w:pStyle w:val="ListParagraph"/>
        <w:numPr>
          <w:ilvl w:val="0"/>
          <w:numId w:val="12"/>
        </w:numPr>
      </w:pPr>
      <w:r>
        <w:t xml:space="preserve">Allow the HHW waste contractor, </w:t>
      </w:r>
      <w:proofErr w:type="spellStart"/>
      <w:r>
        <w:t>ChemCentre</w:t>
      </w:r>
      <w:proofErr w:type="spellEnd"/>
      <w:r>
        <w:t xml:space="preserve"> and auditors t</w:t>
      </w:r>
      <w:r>
        <w:t>o access the site when required.</w:t>
      </w:r>
    </w:p>
    <w:p w14:paraId="142397DB" w14:textId="77777777" w:rsidR="00CC59E6" w:rsidRDefault="00CC59E6" w:rsidP="00CC59E6">
      <w:pPr>
        <w:pStyle w:val="ListParagraph"/>
      </w:pPr>
    </w:p>
    <w:p w14:paraId="34856E92" w14:textId="77777777" w:rsidR="00D84885" w:rsidRDefault="00D84885" w:rsidP="00D84885">
      <w:pPr>
        <w:pStyle w:val="Heading1"/>
      </w:pPr>
      <w:r>
        <w:lastRenderedPageBreak/>
        <w:t>Conflict Resolution</w:t>
      </w:r>
    </w:p>
    <w:p w14:paraId="7DEFB1D9" w14:textId="77777777" w:rsidR="00D84885" w:rsidRPr="00A83275" w:rsidRDefault="00D84885" w:rsidP="00D84885">
      <w:pPr>
        <w:rPr>
          <w:lang w:val="en-GB"/>
        </w:rPr>
      </w:pPr>
      <w:r w:rsidRPr="00A83275">
        <w:rPr>
          <w:lang w:val="en-GB"/>
        </w:rPr>
        <w:t>Should the Parties be unable to reach agreement on any matter in respect to the roles and responsibilities listed above, the conflict resolution process will be as follows:</w:t>
      </w:r>
    </w:p>
    <w:p w14:paraId="6F86D7BA" w14:textId="77777777" w:rsidR="00D84885" w:rsidRPr="00A83275" w:rsidRDefault="00D84885" w:rsidP="00D84885">
      <w:pPr>
        <w:pStyle w:val="ListParagraph"/>
        <w:numPr>
          <w:ilvl w:val="0"/>
          <w:numId w:val="12"/>
        </w:numPr>
      </w:pPr>
      <w:r w:rsidRPr="00A83275">
        <w:t>Each Party shall prepare a statement of its preferred position on the matter under dispute. This statement shall be exchanged between the Parties</w:t>
      </w:r>
      <w:r w:rsidR="00A83275" w:rsidRPr="00A83275">
        <w:t>.</w:t>
      </w:r>
    </w:p>
    <w:p w14:paraId="230EEB31" w14:textId="77777777" w:rsidR="00D84885" w:rsidRPr="00A83275" w:rsidRDefault="00D84885" w:rsidP="00D84885">
      <w:pPr>
        <w:pStyle w:val="ListParagraph"/>
        <w:numPr>
          <w:ilvl w:val="0"/>
          <w:numId w:val="12"/>
        </w:numPr>
      </w:pPr>
      <w:r w:rsidRPr="00A83275">
        <w:t>Following consideration of the statements, a Party may choose to amend its statement, or the dispute may be resolved</w:t>
      </w:r>
      <w:r w:rsidR="00A83275" w:rsidRPr="00A83275">
        <w:t>.</w:t>
      </w:r>
    </w:p>
    <w:p w14:paraId="0E616A94" w14:textId="77777777" w:rsidR="00D84885" w:rsidRPr="00A83275" w:rsidRDefault="00D84885" w:rsidP="00D84885">
      <w:pPr>
        <w:pStyle w:val="ListParagraph"/>
        <w:numPr>
          <w:ilvl w:val="0"/>
          <w:numId w:val="12"/>
        </w:numPr>
      </w:pPr>
      <w:r w:rsidRPr="00A83275">
        <w:t>If the dispute remains, the statements, as provided by the Parties, may be forwarded to an independent arbiter (agreed by the Parties) to make a determination on the matter</w:t>
      </w:r>
    </w:p>
    <w:p w14:paraId="4A4276F2" w14:textId="77777777" w:rsidR="00D84885" w:rsidRPr="00A83275" w:rsidRDefault="00D84885" w:rsidP="00D84885">
      <w:pPr>
        <w:pStyle w:val="ListParagraph"/>
        <w:numPr>
          <w:ilvl w:val="0"/>
          <w:numId w:val="12"/>
        </w:numPr>
      </w:pPr>
      <w:r w:rsidRPr="00A83275">
        <w:t>The independent arbiter’s determination shall be final.</w:t>
      </w:r>
    </w:p>
    <w:p w14:paraId="72DA112E" w14:textId="77777777" w:rsidR="00D84885" w:rsidRDefault="00D84885" w:rsidP="00D84885"/>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8613"/>
      </w:tblGrid>
      <w:tr w:rsidR="00D84885" w14:paraId="5AA249E1" w14:textId="77777777" w:rsidTr="00603266">
        <w:tc>
          <w:tcPr>
            <w:tcW w:w="8613" w:type="dxa"/>
          </w:tcPr>
          <w:p w14:paraId="3E820124" w14:textId="716E0CB2" w:rsidR="006C6B87" w:rsidRDefault="00361F65" w:rsidP="006C6B87">
            <w:pPr>
              <w:pStyle w:val="Heading1"/>
            </w:pPr>
            <w:r>
              <w:t>S</w:t>
            </w:r>
            <w:r w:rsidR="006C6B87">
              <w:t>ignatures of Parties</w:t>
            </w:r>
          </w:p>
          <w:p w14:paraId="1C72885D" w14:textId="77777777" w:rsidR="006C6B87" w:rsidRDefault="006C6B87" w:rsidP="00603266">
            <w:pPr>
              <w:rPr>
                <w:b/>
                <w:sz w:val="28"/>
              </w:rPr>
            </w:pPr>
          </w:p>
          <w:p w14:paraId="2F85933F" w14:textId="77777777" w:rsidR="00232E44" w:rsidRDefault="00232E44" w:rsidP="00603266"/>
          <w:p w14:paraId="326EAAFC" w14:textId="77777777" w:rsidR="00232E44" w:rsidRPr="00392E5D" w:rsidRDefault="00232E44" w:rsidP="00603266"/>
        </w:tc>
      </w:tr>
    </w:tbl>
    <w:p w14:paraId="1EF92FC1" w14:textId="77777777" w:rsidR="00D84885" w:rsidRPr="00B27EDF" w:rsidRDefault="00D84885" w:rsidP="00D84885">
      <w:pPr>
        <w:rPr>
          <w:b/>
        </w:rPr>
      </w:pPr>
      <w:r w:rsidRPr="00B27EDF">
        <w:rPr>
          <w:b/>
        </w:rPr>
        <w:t>Signed on behalf of the Western Australian Local Government Association</w:t>
      </w:r>
    </w:p>
    <w:p w14:paraId="58A9D1FC" w14:textId="77777777" w:rsidR="00D84885" w:rsidRDefault="00D84885" w:rsidP="00D84885"/>
    <w:p w14:paraId="05E98658" w14:textId="77777777" w:rsidR="00D84885" w:rsidRPr="00455979" w:rsidRDefault="00D84885" w:rsidP="00D84885">
      <w:r w:rsidRPr="00455979">
        <w:t>Ms Ricky Burges</w:t>
      </w:r>
    </w:p>
    <w:p w14:paraId="6AD3909E" w14:textId="77777777" w:rsidR="00D84885" w:rsidRPr="00455979" w:rsidRDefault="00D84885" w:rsidP="00D84885">
      <w:r w:rsidRPr="00455979">
        <w:t>Chief Executive Officer</w:t>
      </w:r>
    </w:p>
    <w:p w14:paraId="515FF582" w14:textId="77777777" w:rsidR="00D84885" w:rsidRPr="00455979" w:rsidRDefault="00D84885" w:rsidP="00D84885">
      <w:r w:rsidRPr="00455979">
        <w:t>WALGA</w:t>
      </w:r>
    </w:p>
    <w:p w14:paraId="695A5CA8" w14:textId="77777777" w:rsidR="00D84885" w:rsidRPr="00455979" w:rsidRDefault="00D84885" w:rsidP="00D84885"/>
    <w:p w14:paraId="4AA19077" w14:textId="77777777" w:rsidR="00D84885" w:rsidRDefault="00D84885" w:rsidP="00D84885"/>
    <w:p w14:paraId="3330139A" w14:textId="77777777" w:rsidR="00D84885" w:rsidRDefault="00D84885" w:rsidP="00D84885"/>
    <w:p w14:paraId="566CC3C6" w14:textId="77777777" w:rsidR="00D84885" w:rsidRDefault="00D84885" w:rsidP="00D84885"/>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8613"/>
      </w:tblGrid>
      <w:tr w:rsidR="00D84885" w14:paraId="70E71E82" w14:textId="77777777" w:rsidTr="00603266">
        <w:tc>
          <w:tcPr>
            <w:tcW w:w="8613" w:type="dxa"/>
          </w:tcPr>
          <w:p w14:paraId="259F720D" w14:textId="77777777" w:rsidR="00D84885" w:rsidRPr="00392E5D" w:rsidRDefault="00D84885" w:rsidP="00603266"/>
        </w:tc>
      </w:tr>
    </w:tbl>
    <w:p w14:paraId="6D8A4D7F" w14:textId="77777777" w:rsidR="00D84885" w:rsidRPr="00142CF2" w:rsidRDefault="00D84885" w:rsidP="00D84885">
      <w:pPr>
        <w:rPr>
          <w:b/>
        </w:rPr>
      </w:pPr>
      <w:r w:rsidRPr="00B27EDF">
        <w:rPr>
          <w:b/>
        </w:rPr>
        <w:t>Signed</w:t>
      </w:r>
      <w:r w:rsidR="00BC5B2A">
        <w:rPr>
          <w:b/>
        </w:rPr>
        <w:t xml:space="preserve"> </w:t>
      </w:r>
      <w:r w:rsidRPr="00B27EDF">
        <w:rPr>
          <w:b/>
        </w:rPr>
        <w:t xml:space="preserve">on behalf of the </w:t>
      </w:r>
      <w:r w:rsidRPr="00B27EDF">
        <w:rPr>
          <w:b/>
          <w:highlight w:val="yellow"/>
        </w:rPr>
        <w:t>Insert LG/RC name here</w:t>
      </w:r>
    </w:p>
    <w:p w14:paraId="6DCBED1B" w14:textId="77777777" w:rsidR="00D84885" w:rsidRDefault="00D84885" w:rsidP="00D84885"/>
    <w:p w14:paraId="43541B45" w14:textId="05DC0AAD" w:rsidR="00D84885" w:rsidRDefault="00361F65" w:rsidP="00D84885">
      <w:r w:rsidRPr="00361F65">
        <w:rPr>
          <w:highlight w:val="yellow"/>
        </w:rPr>
        <w:t>Insert CEO name</w:t>
      </w:r>
    </w:p>
    <w:p w14:paraId="0CA706A7" w14:textId="77777777" w:rsidR="00D84885" w:rsidRPr="00455979" w:rsidRDefault="00D84885" w:rsidP="00D84885">
      <w:r w:rsidRPr="00455979">
        <w:t>Chief Executive Officer</w:t>
      </w:r>
    </w:p>
    <w:p w14:paraId="7EB6ED4F" w14:textId="77777777" w:rsidR="00D84885" w:rsidRDefault="00D84885" w:rsidP="00D84885">
      <w:r w:rsidRPr="00455979">
        <w:rPr>
          <w:highlight w:val="yellow"/>
        </w:rPr>
        <w:lastRenderedPageBreak/>
        <w:t>Insert LG/RC name here</w:t>
      </w:r>
    </w:p>
    <w:p w14:paraId="4ABAFC30" w14:textId="77777777" w:rsidR="002643AB" w:rsidRDefault="002643AB" w:rsidP="00D84885"/>
    <w:p w14:paraId="0269AD76" w14:textId="77777777" w:rsidR="002643AB" w:rsidRDefault="002643AB" w:rsidP="00D84885"/>
    <w:p w14:paraId="2B302A30" w14:textId="77777777" w:rsidR="002643AB" w:rsidRDefault="002643AB" w:rsidP="00D84885"/>
    <w:p w14:paraId="25E9F204" w14:textId="77777777" w:rsidR="00361F65" w:rsidRDefault="00361F65" w:rsidP="00D84885"/>
    <w:p w14:paraId="1AF645EB" w14:textId="77777777" w:rsidR="00361F65" w:rsidRDefault="00361F65" w:rsidP="00D84885"/>
    <w:p w14:paraId="74E50044" w14:textId="77777777" w:rsidR="00361F65" w:rsidRDefault="00361F65" w:rsidP="00D84885"/>
    <w:p w14:paraId="71CF2E41" w14:textId="77777777" w:rsidR="002643AB" w:rsidRDefault="002643AB" w:rsidP="00D84885"/>
    <w:p w14:paraId="342E7B02" w14:textId="77777777" w:rsidR="006C6B87" w:rsidRDefault="006C6B87" w:rsidP="006C6B87">
      <w:pPr>
        <w:pStyle w:val="Heading1"/>
        <w:numPr>
          <w:ilvl w:val="0"/>
          <w:numId w:val="0"/>
        </w:numPr>
        <w:ind w:left="567" w:hanging="567"/>
      </w:pPr>
      <w:r>
        <w:t>Appendix 1: List of activities which contribute to the HHW Program</w:t>
      </w:r>
    </w:p>
    <w:p w14:paraId="7631DE41" w14:textId="77777777" w:rsidR="00D84885" w:rsidRPr="00613F87" w:rsidRDefault="002643AB" w:rsidP="00D84885">
      <w:r>
        <w:br/>
      </w:r>
      <w:r w:rsidR="00D84885" w:rsidRPr="00613F87">
        <w:t xml:space="preserve">Local Governments/Regional Councils will maintain records of all contributions to the HHW Program, including in-kind contributions, using the activities list provided below. WALGA will collect and collate the records at the end of each financial year (30 June) for input to HHW Program reports in aggregated form (not on an individual Local Government/Regional Council basis). This list has been developed in consultation with the Local Government/Regional Councils currently providing a permanent HHW facility. </w:t>
      </w:r>
    </w:p>
    <w:p w14:paraId="72285E58" w14:textId="77777777" w:rsidR="00D84885" w:rsidRPr="00613F87" w:rsidRDefault="00D84885" w:rsidP="00D84885">
      <w:r w:rsidRPr="00613F87">
        <w:t xml:space="preserve">NOTE: </w:t>
      </w:r>
    </w:p>
    <w:p w14:paraId="11B84431" w14:textId="77777777" w:rsidR="00D84885" w:rsidRPr="00613F87" w:rsidRDefault="00D84885" w:rsidP="00D84885">
      <w:pPr>
        <w:pStyle w:val="ListParagraph"/>
        <w:numPr>
          <w:ilvl w:val="0"/>
          <w:numId w:val="13"/>
        </w:numPr>
        <w:spacing w:after="0" w:line="240" w:lineRule="auto"/>
      </w:pPr>
      <w:r w:rsidRPr="00613F87">
        <w:t>This list will be provided to Local Governments/Regional Councils in Excel spread sheet form to assist with record keeping.</w:t>
      </w:r>
    </w:p>
    <w:p w14:paraId="651CC6C4" w14:textId="77777777" w:rsidR="00D84885" w:rsidRPr="00613F87" w:rsidRDefault="00D84885" w:rsidP="00D84885">
      <w:pPr>
        <w:pStyle w:val="ListParagraph"/>
        <w:numPr>
          <w:ilvl w:val="0"/>
          <w:numId w:val="13"/>
        </w:numPr>
        <w:spacing w:after="0" w:line="240" w:lineRule="auto"/>
      </w:pPr>
      <w:r w:rsidRPr="00613F87">
        <w:t>Additional activities may be added to this list by Local Governments/Regional Councils as appropriate.</w:t>
      </w:r>
    </w:p>
    <w:p w14:paraId="1C024B89" w14:textId="77777777" w:rsidR="00D84885" w:rsidRPr="00613F87" w:rsidRDefault="00D84885" w:rsidP="00D84885">
      <w:pPr>
        <w:pStyle w:val="ListParagraph"/>
        <w:numPr>
          <w:ilvl w:val="0"/>
          <w:numId w:val="13"/>
        </w:numPr>
        <w:spacing w:after="0" w:line="240" w:lineRule="auto"/>
      </w:pPr>
      <w:r w:rsidRPr="00613F87">
        <w:t xml:space="preserve">A Local Government/Regional Council is not required to undertake every activity listed. </w:t>
      </w:r>
    </w:p>
    <w:p w14:paraId="1F1883B0" w14:textId="77777777" w:rsidR="00D84885" w:rsidRPr="00613F87" w:rsidRDefault="00D84885" w:rsidP="00D84885">
      <w:pPr>
        <w:rPr>
          <w:color w:val="FF0000"/>
        </w:rPr>
      </w:pPr>
    </w:p>
    <w:tbl>
      <w:tblPr>
        <w:tblW w:w="9735" w:type="dxa"/>
        <w:tblInd w:w="93" w:type="dxa"/>
        <w:tblLook w:val="0000" w:firstRow="0" w:lastRow="0" w:firstColumn="0" w:lastColumn="0" w:noHBand="0" w:noVBand="0"/>
      </w:tblPr>
      <w:tblGrid>
        <w:gridCol w:w="1628"/>
        <w:gridCol w:w="5047"/>
        <w:gridCol w:w="3060"/>
      </w:tblGrid>
      <w:tr w:rsidR="00613F87" w:rsidRPr="00613F87" w14:paraId="6F09759F" w14:textId="77777777" w:rsidTr="00603266">
        <w:trPr>
          <w:trHeight w:val="255"/>
        </w:trPr>
        <w:tc>
          <w:tcPr>
            <w:tcW w:w="1628" w:type="dxa"/>
            <w:tcBorders>
              <w:top w:val="nil"/>
              <w:left w:val="nil"/>
              <w:bottom w:val="nil"/>
              <w:right w:val="nil"/>
            </w:tcBorders>
            <w:vAlign w:val="center"/>
          </w:tcPr>
          <w:p w14:paraId="0A80C444" w14:textId="77777777" w:rsidR="00D84885" w:rsidRPr="00613F87" w:rsidRDefault="00D84885" w:rsidP="00D84885">
            <w:pPr>
              <w:pStyle w:val="NoSpacing"/>
              <w:rPr>
                <w:color w:val="FF0000"/>
                <w:sz w:val="20"/>
                <w:szCs w:val="20"/>
              </w:rPr>
            </w:pPr>
          </w:p>
        </w:tc>
        <w:tc>
          <w:tcPr>
            <w:tcW w:w="5047" w:type="dxa"/>
            <w:tcBorders>
              <w:top w:val="nil"/>
              <w:left w:val="nil"/>
              <w:bottom w:val="nil"/>
              <w:right w:val="nil"/>
            </w:tcBorders>
            <w:noWrap/>
            <w:vAlign w:val="center"/>
          </w:tcPr>
          <w:p w14:paraId="08F62991" w14:textId="77777777" w:rsidR="00D84885" w:rsidRPr="00613F87" w:rsidRDefault="00D84885" w:rsidP="00D84885">
            <w:pPr>
              <w:pStyle w:val="NoSpacing"/>
              <w:rPr>
                <w:b/>
                <w:sz w:val="20"/>
                <w:szCs w:val="20"/>
              </w:rPr>
            </w:pPr>
            <w:r w:rsidRPr="00613F87">
              <w:rPr>
                <w:b/>
                <w:sz w:val="20"/>
                <w:szCs w:val="20"/>
              </w:rPr>
              <w:t>Activities that contribute to the HHW Program:</w:t>
            </w:r>
          </w:p>
        </w:tc>
        <w:tc>
          <w:tcPr>
            <w:tcW w:w="3060" w:type="dxa"/>
            <w:tcBorders>
              <w:top w:val="nil"/>
              <w:left w:val="nil"/>
              <w:bottom w:val="nil"/>
              <w:right w:val="nil"/>
            </w:tcBorders>
            <w:noWrap/>
            <w:vAlign w:val="center"/>
          </w:tcPr>
          <w:p w14:paraId="66A55061" w14:textId="77777777" w:rsidR="00D84885" w:rsidRPr="00613F87" w:rsidRDefault="00D84885" w:rsidP="00D84885">
            <w:pPr>
              <w:pStyle w:val="NoSpacing"/>
              <w:rPr>
                <w:b/>
                <w:sz w:val="20"/>
                <w:szCs w:val="20"/>
              </w:rPr>
            </w:pPr>
            <w:r w:rsidRPr="00613F87">
              <w:rPr>
                <w:b/>
                <w:sz w:val="20"/>
                <w:szCs w:val="20"/>
              </w:rPr>
              <w:t>Costs to be included:</w:t>
            </w:r>
          </w:p>
        </w:tc>
      </w:tr>
      <w:tr w:rsidR="00613F87" w:rsidRPr="00613F87" w14:paraId="4234E892" w14:textId="77777777" w:rsidTr="00603266">
        <w:trPr>
          <w:trHeight w:val="227"/>
        </w:trPr>
        <w:tc>
          <w:tcPr>
            <w:tcW w:w="1628" w:type="dxa"/>
            <w:vMerge w:val="restart"/>
            <w:tcBorders>
              <w:top w:val="single" w:sz="4" w:space="0" w:color="auto"/>
              <w:left w:val="single" w:sz="4" w:space="0" w:color="auto"/>
              <w:right w:val="single" w:sz="4" w:space="0" w:color="auto"/>
            </w:tcBorders>
            <w:vAlign w:val="center"/>
          </w:tcPr>
          <w:p w14:paraId="58F2538A" w14:textId="77777777" w:rsidR="00D84885" w:rsidRPr="003603CE" w:rsidRDefault="00D84885" w:rsidP="00D84885">
            <w:pPr>
              <w:pStyle w:val="NoSpacing"/>
              <w:rPr>
                <w:sz w:val="20"/>
                <w:szCs w:val="20"/>
              </w:rPr>
            </w:pPr>
            <w:r w:rsidRPr="003603CE">
              <w:rPr>
                <w:b/>
                <w:bCs/>
                <w:sz w:val="20"/>
                <w:szCs w:val="20"/>
              </w:rPr>
              <w:t>Administration</w:t>
            </w:r>
          </w:p>
        </w:tc>
        <w:tc>
          <w:tcPr>
            <w:tcW w:w="5047" w:type="dxa"/>
            <w:tcBorders>
              <w:top w:val="single" w:sz="4" w:space="0" w:color="auto"/>
              <w:left w:val="single" w:sz="4" w:space="0" w:color="auto"/>
              <w:bottom w:val="single" w:sz="4" w:space="0" w:color="auto"/>
              <w:right w:val="single" w:sz="4" w:space="0" w:color="auto"/>
            </w:tcBorders>
            <w:noWrap/>
            <w:vAlign w:val="center"/>
          </w:tcPr>
          <w:p w14:paraId="637BBBDC" w14:textId="77777777" w:rsidR="00D84885" w:rsidRPr="003603CE" w:rsidRDefault="00D84885" w:rsidP="00D84885">
            <w:pPr>
              <w:pStyle w:val="NoSpacing"/>
              <w:rPr>
                <w:sz w:val="20"/>
                <w:szCs w:val="20"/>
              </w:rPr>
            </w:pPr>
            <w:r w:rsidRPr="003603CE">
              <w:rPr>
                <w:sz w:val="20"/>
                <w:szCs w:val="20"/>
              </w:rPr>
              <w:t>Cre</w:t>
            </w:r>
            <w:r w:rsidR="009766B2" w:rsidRPr="003603CE">
              <w:rPr>
                <w:sz w:val="20"/>
                <w:szCs w:val="20"/>
              </w:rPr>
              <w:t xml:space="preserve">ating, processing, sending etc. </w:t>
            </w:r>
            <w:r w:rsidRPr="003603CE">
              <w:rPr>
                <w:sz w:val="20"/>
                <w:szCs w:val="20"/>
              </w:rPr>
              <w:t>of invoices</w:t>
            </w:r>
          </w:p>
        </w:tc>
        <w:tc>
          <w:tcPr>
            <w:tcW w:w="3060" w:type="dxa"/>
            <w:tcBorders>
              <w:top w:val="single" w:sz="4" w:space="0" w:color="auto"/>
              <w:left w:val="nil"/>
              <w:bottom w:val="single" w:sz="4" w:space="0" w:color="auto"/>
              <w:right w:val="single" w:sz="4" w:space="0" w:color="auto"/>
            </w:tcBorders>
            <w:noWrap/>
            <w:vAlign w:val="center"/>
          </w:tcPr>
          <w:p w14:paraId="1CE2C1E3" w14:textId="77777777" w:rsidR="00D84885" w:rsidRPr="009766B2" w:rsidRDefault="00D84885" w:rsidP="00D84885">
            <w:pPr>
              <w:pStyle w:val="NoSpacing"/>
              <w:rPr>
                <w:sz w:val="20"/>
                <w:szCs w:val="20"/>
              </w:rPr>
            </w:pPr>
            <w:r w:rsidRPr="009766B2">
              <w:rPr>
                <w:sz w:val="20"/>
                <w:szCs w:val="20"/>
              </w:rPr>
              <w:t>Staff time</w:t>
            </w:r>
          </w:p>
        </w:tc>
      </w:tr>
      <w:tr w:rsidR="00613F87" w:rsidRPr="00613F87" w14:paraId="665FA021" w14:textId="77777777" w:rsidTr="00603266">
        <w:trPr>
          <w:trHeight w:val="227"/>
        </w:trPr>
        <w:tc>
          <w:tcPr>
            <w:tcW w:w="1628" w:type="dxa"/>
            <w:vMerge/>
            <w:tcBorders>
              <w:left w:val="single" w:sz="4" w:space="0" w:color="auto"/>
              <w:right w:val="single" w:sz="4" w:space="0" w:color="auto"/>
            </w:tcBorders>
            <w:vAlign w:val="center"/>
          </w:tcPr>
          <w:p w14:paraId="02CB1158" w14:textId="77777777" w:rsidR="00D84885" w:rsidRPr="003603CE" w:rsidRDefault="00D84885" w:rsidP="00D84885">
            <w:pPr>
              <w:pStyle w:val="NoSpacing"/>
              <w:rPr>
                <w:sz w:val="20"/>
                <w:szCs w:val="20"/>
              </w:rPr>
            </w:pPr>
          </w:p>
        </w:tc>
        <w:tc>
          <w:tcPr>
            <w:tcW w:w="5047" w:type="dxa"/>
            <w:tcBorders>
              <w:top w:val="nil"/>
              <w:left w:val="single" w:sz="4" w:space="0" w:color="auto"/>
              <w:bottom w:val="single" w:sz="4" w:space="0" w:color="auto"/>
              <w:right w:val="single" w:sz="4" w:space="0" w:color="auto"/>
            </w:tcBorders>
            <w:noWrap/>
            <w:vAlign w:val="center"/>
          </w:tcPr>
          <w:p w14:paraId="43650A73" w14:textId="77777777" w:rsidR="00D84885" w:rsidRPr="003603CE" w:rsidRDefault="00D84885" w:rsidP="00D84885">
            <w:pPr>
              <w:pStyle w:val="NoSpacing"/>
              <w:rPr>
                <w:sz w:val="20"/>
                <w:szCs w:val="20"/>
              </w:rPr>
            </w:pPr>
            <w:r w:rsidRPr="003603CE">
              <w:rPr>
                <w:sz w:val="20"/>
                <w:szCs w:val="20"/>
              </w:rPr>
              <w:t>Co-contribution reporting requirements</w:t>
            </w:r>
          </w:p>
        </w:tc>
        <w:tc>
          <w:tcPr>
            <w:tcW w:w="3060" w:type="dxa"/>
            <w:tcBorders>
              <w:top w:val="nil"/>
              <w:left w:val="nil"/>
              <w:bottom w:val="single" w:sz="4" w:space="0" w:color="auto"/>
              <w:right w:val="single" w:sz="4" w:space="0" w:color="auto"/>
            </w:tcBorders>
            <w:noWrap/>
            <w:vAlign w:val="center"/>
          </w:tcPr>
          <w:p w14:paraId="164EC170" w14:textId="77777777" w:rsidR="00D84885" w:rsidRPr="009766B2" w:rsidRDefault="00D84885" w:rsidP="00D84885">
            <w:pPr>
              <w:pStyle w:val="NoSpacing"/>
              <w:rPr>
                <w:sz w:val="20"/>
                <w:szCs w:val="20"/>
              </w:rPr>
            </w:pPr>
            <w:r w:rsidRPr="009766B2">
              <w:rPr>
                <w:sz w:val="20"/>
                <w:szCs w:val="20"/>
              </w:rPr>
              <w:t>Staff time</w:t>
            </w:r>
          </w:p>
        </w:tc>
      </w:tr>
      <w:tr w:rsidR="00613F87" w:rsidRPr="00613F87" w14:paraId="3DB43D1F" w14:textId="77777777" w:rsidTr="00603266">
        <w:trPr>
          <w:trHeight w:val="227"/>
        </w:trPr>
        <w:tc>
          <w:tcPr>
            <w:tcW w:w="1628" w:type="dxa"/>
            <w:vMerge/>
            <w:tcBorders>
              <w:left w:val="single" w:sz="4" w:space="0" w:color="auto"/>
              <w:right w:val="single" w:sz="4" w:space="0" w:color="auto"/>
            </w:tcBorders>
            <w:vAlign w:val="center"/>
          </w:tcPr>
          <w:p w14:paraId="7D8F05E6" w14:textId="77777777" w:rsidR="00D84885" w:rsidRPr="003603CE" w:rsidRDefault="00D84885" w:rsidP="00D84885">
            <w:pPr>
              <w:pStyle w:val="NoSpacing"/>
              <w:rPr>
                <w:sz w:val="20"/>
                <w:szCs w:val="20"/>
              </w:rPr>
            </w:pPr>
          </w:p>
        </w:tc>
        <w:tc>
          <w:tcPr>
            <w:tcW w:w="5047" w:type="dxa"/>
            <w:tcBorders>
              <w:top w:val="nil"/>
              <w:left w:val="single" w:sz="4" w:space="0" w:color="auto"/>
              <w:bottom w:val="single" w:sz="4" w:space="0" w:color="auto"/>
              <w:right w:val="single" w:sz="4" w:space="0" w:color="auto"/>
            </w:tcBorders>
            <w:noWrap/>
            <w:vAlign w:val="center"/>
          </w:tcPr>
          <w:p w14:paraId="72E248AE" w14:textId="77777777" w:rsidR="00D84885" w:rsidRPr="003603CE" w:rsidRDefault="00D84885" w:rsidP="00D84885">
            <w:pPr>
              <w:pStyle w:val="NoSpacing"/>
              <w:rPr>
                <w:sz w:val="20"/>
                <w:szCs w:val="20"/>
              </w:rPr>
            </w:pPr>
            <w:r w:rsidRPr="003603CE">
              <w:rPr>
                <w:sz w:val="20"/>
                <w:szCs w:val="20"/>
              </w:rPr>
              <w:t>Responding to public enquiries and complaints</w:t>
            </w:r>
          </w:p>
        </w:tc>
        <w:tc>
          <w:tcPr>
            <w:tcW w:w="3060" w:type="dxa"/>
            <w:tcBorders>
              <w:top w:val="nil"/>
              <w:left w:val="nil"/>
              <w:bottom w:val="single" w:sz="4" w:space="0" w:color="auto"/>
              <w:right w:val="single" w:sz="4" w:space="0" w:color="auto"/>
            </w:tcBorders>
            <w:noWrap/>
            <w:vAlign w:val="center"/>
          </w:tcPr>
          <w:p w14:paraId="6E0B2C6D" w14:textId="77777777" w:rsidR="00D84885" w:rsidRPr="009766B2" w:rsidRDefault="00D84885" w:rsidP="00D84885">
            <w:pPr>
              <w:pStyle w:val="NoSpacing"/>
              <w:rPr>
                <w:sz w:val="20"/>
                <w:szCs w:val="20"/>
              </w:rPr>
            </w:pPr>
            <w:r w:rsidRPr="009766B2">
              <w:rPr>
                <w:sz w:val="20"/>
                <w:szCs w:val="20"/>
              </w:rPr>
              <w:t>Staff time</w:t>
            </w:r>
          </w:p>
        </w:tc>
      </w:tr>
      <w:tr w:rsidR="00613F87" w:rsidRPr="00613F87" w14:paraId="4378B06C" w14:textId="77777777" w:rsidTr="00603266">
        <w:trPr>
          <w:trHeight w:val="227"/>
        </w:trPr>
        <w:tc>
          <w:tcPr>
            <w:tcW w:w="1628" w:type="dxa"/>
            <w:vMerge/>
            <w:tcBorders>
              <w:left w:val="single" w:sz="4" w:space="0" w:color="auto"/>
              <w:right w:val="single" w:sz="4" w:space="0" w:color="auto"/>
            </w:tcBorders>
            <w:vAlign w:val="center"/>
          </w:tcPr>
          <w:p w14:paraId="46999AEA" w14:textId="77777777" w:rsidR="00D84885" w:rsidRPr="003603CE" w:rsidRDefault="00D84885" w:rsidP="00D84885">
            <w:pPr>
              <w:pStyle w:val="NoSpacing"/>
              <w:rPr>
                <w:sz w:val="20"/>
                <w:szCs w:val="20"/>
              </w:rPr>
            </w:pPr>
          </w:p>
        </w:tc>
        <w:tc>
          <w:tcPr>
            <w:tcW w:w="5047" w:type="dxa"/>
            <w:tcBorders>
              <w:top w:val="nil"/>
              <w:left w:val="single" w:sz="4" w:space="0" w:color="auto"/>
              <w:bottom w:val="single" w:sz="4" w:space="0" w:color="auto"/>
              <w:right w:val="single" w:sz="4" w:space="0" w:color="auto"/>
            </w:tcBorders>
            <w:noWrap/>
            <w:vAlign w:val="center"/>
          </w:tcPr>
          <w:p w14:paraId="0DD8D5E2" w14:textId="77777777" w:rsidR="00D84885" w:rsidRPr="003603CE" w:rsidRDefault="00D84885" w:rsidP="00D84885">
            <w:pPr>
              <w:pStyle w:val="NoSpacing"/>
              <w:rPr>
                <w:sz w:val="20"/>
                <w:szCs w:val="20"/>
              </w:rPr>
            </w:pPr>
            <w:r w:rsidRPr="003603CE">
              <w:rPr>
                <w:sz w:val="20"/>
                <w:szCs w:val="20"/>
              </w:rPr>
              <w:t>Management of HHW activities (i.e. Manager's time)</w:t>
            </w:r>
          </w:p>
        </w:tc>
        <w:tc>
          <w:tcPr>
            <w:tcW w:w="3060" w:type="dxa"/>
            <w:tcBorders>
              <w:top w:val="nil"/>
              <w:left w:val="nil"/>
              <w:bottom w:val="single" w:sz="4" w:space="0" w:color="auto"/>
              <w:right w:val="single" w:sz="4" w:space="0" w:color="auto"/>
            </w:tcBorders>
            <w:noWrap/>
            <w:vAlign w:val="center"/>
          </w:tcPr>
          <w:p w14:paraId="5291EE88" w14:textId="77777777" w:rsidR="00D84885" w:rsidRPr="009766B2" w:rsidRDefault="00D84885" w:rsidP="00D84885">
            <w:pPr>
              <w:pStyle w:val="NoSpacing"/>
              <w:rPr>
                <w:sz w:val="20"/>
                <w:szCs w:val="20"/>
              </w:rPr>
            </w:pPr>
            <w:r w:rsidRPr="009766B2">
              <w:rPr>
                <w:sz w:val="20"/>
                <w:szCs w:val="20"/>
              </w:rPr>
              <w:t>Staff time</w:t>
            </w:r>
          </w:p>
        </w:tc>
      </w:tr>
      <w:tr w:rsidR="00613F87" w:rsidRPr="00613F87" w14:paraId="2BA41B13" w14:textId="77777777" w:rsidTr="00603266">
        <w:trPr>
          <w:trHeight w:val="227"/>
        </w:trPr>
        <w:tc>
          <w:tcPr>
            <w:tcW w:w="1628" w:type="dxa"/>
            <w:vMerge/>
            <w:tcBorders>
              <w:left w:val="single" w:sz="4" w:space="0" w:color="auto"/>
              <w:right w:val="single" w:sz="4" w:space="0" w:color="auto"/>
            </w:tcBorders>
            <w:vAlign w:val="center"/>
          </w:tcPr>
          <w:p w14:paraId="0814F0FC" w14:textId="77777777" w:rsidR="00D84885" w:rsidRPr="003603CE" w:rsidRDefault="00D84885" w:rsidP="00D84885">
            <w:pPr>
              <w:pStyle w:val="NoSpacing"/>
              <w:rPr>
                <w:sz w:val="20"/>
                <w:szCs w:val="20"/>
              </w:rPr>
            </w:pPr>
          </w:p>
        </w:tc>
        <w:tc>
          <w:tcPr>
            <w:tcW w:w="5047" w:type="dxa"/>
            <w:tcBorders>
              <w:top w:val="nil"/>
              <w:left w:val="single" w:sz="4" w:space="0" w:color="auto"/>
              <w:bottom w:val="single" w:sz="4" w:space="0" w:color="auto"/>
              <w:right w:val="single" w:sz="4" w:space="0" w:color="auto"/>
            </w:tcBorders>
            <w:noWrap/>
            <w:vAlign w:val="center"/>
          </w:tcPr>
          <w:p w14:paraId="266DAD8B" w14:textId="77777777" w:rsidR="00D84885" w:rsidRPr="003603CE" w:rsidRDefault="00D84885" w:rsidP="00D84885">
            <w:pPr>
              <w:pStyle w:val="NoSpacing"/>
              <w:rPr>
                <w:sz w:val="20"/>
                <w:szCs w:val="20"/>
              </w:rPr>
            </w:pPr>
            <w:r w:rsidRPr="003603CE">
              <w:rPr>
                <w:sz w:val="20"/>
                <w:szCs w:val="20"/>
              </w:rPr>
              <w:t>Arranging pickup of HHW with contractor</w:t>
            </w:r>
          </w:p>
        </w:tc>
        <w:tc>
          <w:tcPr>
            <w:tcW w:w="3060" w:type="dxa"/>
            <w:tcBorders>
              <w:top w:val="nil"/>
              <w:left w:val="nil"/>
              <w:bottom w:val="single" w:sz="4" w:space="0" w:color="auto"/>
              <w:right w:val="single" w:sz="4" w:space="0" w:color="auto"/>
            </w:tcBorders>
            <w:noWrap/>
            <w:vAlign w:val="center"/>
          </w:tcPr>
          <w:p w14:paraId="58A77799" w14:textId="77777777" w:rsidR="00D84885" w:rsidRPr="009766B2" w:rsidRDefault="00D84885" w:rsidP="00D84885">
            <w:pPr>
              <w:pStyle w:val="NoSpacing"/>
              <w:rPr>
                <w:sz w:val="20"/>
                <w:szCs w:val="20"/>
              </w:rPr>
            </w:pPr>
            <w:r w:rsidRPr="009766B2">
              <w:rPr>
                <w:sz w:val="20"/>
                <w:szCs w:val="20"/>
              </w:rPr>
              <w:t>Staff time</w:t>
            </w:r>
          </w:p>
        </w:tc>
      </w:tr>
      <w:tr w:rsidR="00613F87" w:rsidRPr="00613F87" w14:paraId="66688544" w14:textId="77777777" w:rsidTr="00603266">
        <w:trPr>
          <w:trHeight w:val="227"/>
        </w:trPr>
        <w:tc>
          <w:tcPr>
            <w:tcW w:w="1628" w:type="dxa"/>
            <w:vMerge/>
            <w:tcBorders>
              <w:left w:val="single" w:sz="4" w:space="0" w:color="auto"/>
              <w:right w:val="single" w:sz="4" w:space="0" w:color="auto"/>
            </w:tcBorders>
            <w:vAlign w:val="center"/>
          </w:tcPr>
          <w:p w14:paraId="51AF705B" w14:textId="77777777" w:rsidR="00D84885" w:rsidRPr="003603CE" w:rsidRDefault="00D84885" w:rsidP="00D84885">
            <w:pPr>
              <w:pStyle w:val="NoSpacing"/>
              <w:rPr>
                <w:sz w:val="20"/>
                <w:szCs w:val="20"/>
              </w:rPr>
            </w:pPr>
          </w:p>
        </w:tc>
        <w:tc>
          <w:tcPr>
            <w:tcW w:w="5047" w:type="dxa"/>
            <w:tcBorders>
              <w:top w:val="nil"/>
              <w:left w:val="single" w:sz="4" w:space="0" w:color="auto"/>
              <w:bottom w:val="single" w:sz="4" w:space="0" w:color="auto"/>
              <w:right w:val="single" w:sz="4" w:space="0" w:color="auto"/>
            </w:tcBorders>
            <w:noWrap/>
            <w:vAlign w:val="center"/>
          </w:tcPr>
          <w:p w14:paraId="527645B3" w14:textId="77777777" w:rsidR="00D84885" w:rsidRPr="003603CE" w:rsidRDefault="00D84885" w:rsidP="00D84885">
            <w:pPr>
              <w:pStyle w:val="NoSpacing"/>
              <w:rPr>
                <w:sz w:val="20"/>
                <w:szCs w:val="20"/>
              </w:rPr>
            </w:pPr>
            <w:r w:rsidRPr="003603CE">
              <w:rPr>
                <w:sz w:val="20"/>
                <w:szCs w:val="20"/>
              </w:rPr>
              <w:t>Insurance related to HHW storage facility (percentage attributed to HHW Program activities)</w:t>
            </w:r>
          </w:p>
        </w:tc>
        <w:tc>
          <w:tcPr>
            <w:tcW w:w="3060" w:type="dxa"/>
            <w:tcBorders>
              <w:top w:val="nil"/>
              <w:left w:val="nil"/>
              <w:bottom w:val="single" w:sz="4" w:space="0" w:color="auto"/>
              <w:right w:val="single" w:sz="4" w:space="0" w:color="auto"/>
            </w:tcBorders>
            <w:noWrap/>
            <w:vAlign w:val="center"/>
          </w:tcPr>
          <w:p w14:paraId="1E5CBA6C" w14:textId="77777777" w:rsidR="00D84885" w:rsidRPr="009766B2" w:rsidRDefault="00D84885" w:rsidP="00D84885">
            <w:pPr>
              <w:pStyle w:val="NoSpacing"/>
              <w:rPr>
                <w:sz w:val="20"/>
                <w:szCs w:val="20"/>
              </w:rPr>
            </w:pPr>
            <w:r w:rsidRPr="009766B2">
              <w:rPr>
                <w:sz w:val="20"/>
                <w:szCs w:val="20"/>
              </w:rPr>
              <w:t xml:space="preserve">Policy costs </w:t>
            </w:r>
          </w:p>
        </w:tc>
      </w:tr>
      <w:tr w:rsidR="00613F87" w:rsidRPr="00613F87" w14:paraId="7D2ABDD4" w14:textId="77777777" w:rsidTr="00603266">
        <w:trPr>
          <w:trHeight w:val="227"/>
        </w:trPr>
        <w:tc>
          <w:tcPr>
            <w:tcW w:w="1628" w:type="dxa"/>
            <w:vMerge/>
            <w:tcBorders>
              <w:left w:val="single" w:sz="4" w:space="0" w:color="auto"/>
              <w:right w:val="single" w:sz="4" w:space="0" w:color="auto"/>
            </w:tcBorders>
            <w:vAlign w:val="center"/>
          </w:tcPr>
          <w:p w14:paraId="52CD7F35" w14:textId="77777777" w:rsidR="00D84885" w:rsidRPr="00613F87" w:rsidRDefault="00D84885" w:rsidP="00D84885">
            <w:pPr>
              <w:pStyle w:val="NoSpacing"/>
              <w:rPr>
                <w:color w:val="FF0000"/>
                <w:sz w:val="20"/>
                <w:szCs w:val="20"/>
              </w:rPr>
            </w:pPr>
          </w:p>
        </w:tc>
        <w:tc>
          <w:tcPr>
            <w:tcW w:w="5047" w:type="dxa"/>
            <w:tcBorders>
              <w:top w:val="nil"/>
              <w:left w:val="single" w:sz="4" w:space="0" w:color="auto"/>
              <w:bottom w:val="single" w:sz="4" w:space="0" w:color="auto"/>
              <w:right w:val="single" w:sz="4" w:space="0" w:color="auto"/>
            </w:tcBorders>
            <w:noWrap/>
            <w:vAlign w:val="center"/>
          </w:tcPr>
          <w:p w14:paraId="3095F79C" w14:textId="77777777" w:rsidR="00D84885" w:rsidRPr="002643AB" w:rsidRDefault="00D84885" w:rsidP="00D84885">
            <w:pPr>
              <w:pStyle w:val="NoSpacing"/>
              <w:rPr>
                <w:sz w:val="20"/>
                <w:szCs w:val="20"/>
              </w:rPr>
            </w:pPr>
            <w:r w:rsidRPr="002643AB">
              <w:rPr>
                <w:sz w:val="20"/>
                <w:szCs w:val="20"/>
              </w:rPr>
              <w:t>Attendance at HHW Program related meetings</w:t>
            </w:r>
          </w:p>
        </w:tc>
        <w:tc>
          <w:tcPr>
            <w:tcW w:w="3060" w:type="dxa"/>
            <w:tcBorders>
              <w:top w:val="nil"/>
              <w:left w:val="nil"/>
              <w:bottom w:val="single" w:sz="4" w:space="0" w:color="auto"/>
              <w:right w:val="single" w:sz="4" w:space="0" w:color="auto"/>
            </w:tcBorders>
            <w:noWrap/>
            <w:vAlign w:val="center"/>
          </w:tcPr>
          <w:p w14:paraId="0448EFF8" w14:textId="77777777" w:rsidR="00D84885" w:rsidRPr="002643AB" w:rsidRDefault="00D84885" w:rsidP="00D84885">
            <w:pPr>
              <w:pStyle w:val="NoSpacing"/>
              <w:rPr>
                <w:sz w:val="20"/>
                <w:szCs w:val="20"/>
              </w:rPr>
            </w:pPr>
            <w:r w:rsidRPr="002643AB">
              <w:rPr>
                <w:sz w:val="20"/>
                <w:szCs w:val="20"/>
              </w:rPr>
              <w:t>Staff time</w:t>
            </w:r>
          </w:p>
        </w:tc>
      </w:tr>
      <w:tr w:rsidR="00613F87" w:rsidRPr="00613F87" w14:paraId="0BF7660C" w14:textId="77777777" w:rsidTr="00603266">
        <w:trPr>
          <w:trHeight w:val="227"/>
        </w:trPr>
        <w:tc>
          <w:tcPr>
            <w:tcW w:w="1628" w:type="dxa"/>
            <w:vMerge/>
            <w:tcBorders>
              <w:left w:val="single" w:sz="4" w:space="0" w:color="auto"/>
              <w:right w:val="single" w:sz="4" w:space="0" w:color="auto"/>
            </w:tcBorders>
            <w:vAlign w:val="center"/>
          </w:tcPr>
          <w:p w14:paraId="6BC16BD1" w14:textId="77777777" w:rsidR="00D84885" w:rsidRPr="00613F87" w:rsidRDefault="00D84885" w:rsidP="00D84885">
            <w:pPr>
              <w:pStyle w:val="NoSpacing"/>
              <w:rPr>
                <w:color w:val="FF0000"/>
                <w:sz w:val="20"/>
                <w:szCs w:val="20"/>
              </w:rPr>
            </w:pPr>
          </w:p>
        </w:tc>
        <w:tc>
          <w:tcPr>
            <w:tcW w:w="5047" w:type="dxa"/>
            <w:tcBorders>
              <w:top w:val="nil"/>
              <w:left w:val="single" w:sz="4" w:space="0" w:color="auto"/>
              <w:bottom w:val="single" w:sz="4" w:space="0" w:color="auto"/>
              <w:right w:val="single" w:sz="4" w:space="0" w:color="auto"/>
            </w:tcBorders>
            <w:noWrap/>
            <w:vAlign w:val="center"/>
          </w:tcPr>
          <w:p w14:paraId="7652303A" w14:textId="77777777" w:rsidR="00D84885" w:rsidRPr="002643AB" w:rsidRDefault="00D84885" w:rsidP="00D84885">
            <w:pPr>
              <w:pStyle w:val="NoSpacing"/>
              <w:rPr>
                <w:sz w:val="20"/>
                <w:szCs w:val="20"/>
              </w:rPr>
            </w:pPr>
            <w:r w:rsidRPr="002643AB">
              <w:rPr>
                <w:sz w:val="20"/>
                <w:szCs w:val="20"/>
              </w:rPr>
              <w:t>Attendance at HHW handling and storage training</w:t>
            </w:r>
          </w:p>
        </w:tc>
        <w:tc>
          <w:tcPr>
            <w:tcW w:w="3060" w:type="dxa"/>
            <w:tcBorders>
              <w:top w:val="nil"/>
              <w:left w:val="nil"/>
              <w:bottom w:val="single" w:sz="4" w:space="0" w:color="auto"/>
              <w:right w:val="single" w:sz="4" w:space="0" w:color="auto"/>
            </w:tcBorders>
            <w:noWrap/>
            <w:vAlign w:val="center"/>
          </w:tcPr>
          <w:p w14:paraId="4A111249" w14:textId="77777777" w:rsidR="00D84885" w:rsidRPr="002643AB" w:rsidRDefault="00D84885" w:rsidP="00D84885">
            <w:pPr>
              <w:pStyle w:val="NoSpacing"/>
              <w:rPr>
                <w:sz w:val="20"/>
                <w:szCs w:val="20"/>
              </w:rPr>
            </w:pPr>
            <w:r w:rsidRPr="002643AB">
              <w:rPr>
                <w:sz w:val="20"/>
                <w:szCs w:val="20"/>
              </w:rPr>
              <w:t>Staff time</w:t>
            </w:r>
          </w:p>
        </w:tc>
      </w:tr>
      <w:tr w:rsidR="00613F87" w:rsidRPr="00613F87" w14:paraId="5DF7BCE3" w14:textId="77777777" w:rsidTr="00603266">
        <w:trPr>
          <w:trHeight w:val="227"/>
        </w:trPr>
        <w:tc>
          <w:tcPr>
            <w:tcW w:w="1628" w:type="dxa"/>
            <w:vMerge/>
            <w:tcBorders>
              <w:left w:val="single" w:sz="4" w:space="0" w:color="auto"/>
              <w:right w:val="single" w:sz="4" w:space="0" w:color="auto"/>
            </w:tcBorders>
            <w:vAlign w:val="center"/>
          </w:tcPr>
          <w:p w14:paraId="2D128093" w14:textId="77777777" w:rsidR="00D84885" w:rsidRPr="00613F87" w:rsidRDefault="00D84885" w:rsidP="00D84885">
            <w:pPr>
              <w:pStyle w:val="NoSpacing"/>
              <w:rPr>
                <w:color w:val="FF0000"/>
                <w:sz w:val="20"/>
                <w:szCs w:val="20"/>
              </w:rPr>
            </w:pPr>
          </w:p>
        </w:tc>
        <w:tc>
          <w:tcPr>
            <w:tcW w:w="5047" w:type="dxa"/>
            <w:tcBorders>
              <w:top w:val="nil"/>
              <w:left w:val="single" w:sz="4" w:space="0" w:color="auto"/>
              <w:bottom w:val="single" w:sz="4" w:space="0" w:color="auto"/>
              <w:right w:val="single" w:sz="4" w:space="0" w:color="auto"/>
            </w:tcBorders>
            <w:noWrap/>
            <w:vAlign w:val="center"/>
          </w:tcPr>
          <w:p w14:paraId="39DB534E" w14:textId="77777777" w:rsidR="00D84885" w:rsidRPr="009766B2" w:rsidRDefault="00D84885" w:rsidP="00D84885">
            <w:pPr>
              <w:pStyle w:val="NoSpacing"/>
              <w:rPr>
                <w:sz w:val="20"/>
                <w:szCs w:val="20"/>
              </w:rPr>
            </w:pPr>
            <w:r w:rsidRPr="009766B2">
              <w:rPr>
                <w:sz w:val="20"/>
                <w:szCs w:val="20"/>
              </w:rPr>
              <w:t>Input into HHW submissions and documents</w:t>
            </w:r>
          </w:p>
        </w:tc>
        <w:tc>
          <w:tcPr>
            <w:tcW w:w="3060" w:type="dxa"/>
            <w:tcBorders>
              <w:top w:val="nil"/>
              <w:left w:val="nil"/>
              <w:bottom w:val="single" w:sz="4" w:space="0" w:color="auto"/>
              <w:right w:val="single" w:sz="4" w:space="0" w:color="auto"/>
            </w:tcBorders>
            <w:noWrap/>
            <w:vAlign w:val="center"/>
          </w:tcPr>
          <w:p w14:paraId="2E17B140" w14:textId="77777777" w:rsidR="00D84885" w:rsidRPr="009766B2" w:rsidRDefault="00D84885" w:rsidP="00D84885">
            <w:pPr>
              <w:pStyle w:val="NoSpacing"/>
              <w:rPr>
                <w:sz w:val="20"/>
                <w:szCs w:val="20"/>
              </w:rPr>
            </w:pPr>
            <w:r w:rsidRPr="009766B2">
              <w:rPr>
                <w:sz w:val="20"/>
                <w:szCs w:val="20"/>
              </w:rPr>
              <w:t>Staff time</w:t>
            </w:r>
          </w:p>
        </w:tc>
      </w:tr>
      <w:tr w:rsidR="00613F87" w:rsidRPr="00613F87" w14:paraId="11644A93" w14:textId="77777777" w:rsidTr="00603266">
        <w:trPr>
          <w:trHeight w:val="227"/>
        </w:trPr>
        <w:tc>
          <w:tcPr>
            <w:tcW w:w="1628" w:type="dxa"/>
            <w:vMerge/>
            <w:tcBorders>
              <w:left w:val="single" w:sz="4" w:space="0" w:color="auto"/>
              <w:right w:val="single" w:sz="4" w:space="0" w:color="auto"/>
            </w:tcBorders>
            <w:vAlign w:val="center"/>
          </w:tcPr>
          <w:p w14:paraId="04164C1A" w14:textId="77777777" w:rsidR="00D84885" w:rsidRPr="00613F87" w:rsidRDefault="00D84885" w:rsidP="00D84885">
            <w:pPr>
              <w:pStyle w:val="NoSpacing"/>
              <w:rPr>
                <w:color w:val="FF0000"/>
                <w:sz w:val="20"/>
                <w:szCs w:val="20"/>
              </w:rPr>
            </w:pPr>
          </w:p>
        </w:tc>
        <w:tc>
          <w:tcPr>
            <w:tcW w:w="5047" w:type="dxa"/>
            <w:tcBorders>
              <w:top w:val="nil"/>
              <w:left w:val="single" w:sz="4" w:space="0" w:color="auto"/>
              <w:bottom w:val="single" w:sz="4" w:space="0" w:color="auto"/>
              <w:right w:val="single" w:sz="4" w:space="0" w:color="auto"/>
            </w:tcBorders>
            <w:noWrap/>
            <w:vAlign w:val="center"/>
          </w:tcPr>
          <w:p w14:paraId="667229AE" w14:textId="77777777" w:rsidR="00D84885" w:rsidRPr="009766B2" w:rsidRDefault="00D84885" w:rsidP="00D84885">
            <w:pPr>
              <w:pStyle w:val="NoSpacing"/>
              <w:rPr>
                <w:sz w:val="20"/>
                <w:szCs w:val="20"/>
              </w:rPr>
            </w:pPr>
            <w:r w:rsidRPr="009766B2">
              <w:rPr>
                <w:sz w:val="20"/>
                <w:szCs w:val="20"/>
              </w:rPr>
              <w:t>Other misc. admin. activities (e.g. data entry)</w:t>
            </w:r>
          </w:p>
        </w:tc>
        <w:tc>
          <w:tcPr>
            <w:tcW w:w="3060" w:type="dxa"/>
            <w:tcBorders>
              <w:top w:val="nil"/>
              <w:left w:val="nil"/>
              <w:bottom w:val="single" w:sz="4" w:space="0" w:color="auto"/>
              <w:right w:val="single" w:sz="4" w:space="0" w:color="auto"/>
            </w:tcBorders>
            <w:noWrap/>
            <w:vAlign w:val="center"/>
          </w:tcPr>
          <w:p w14:paraId="44B5E6CE" w14:textId="77777777" w:rsidR="00D84885" w:rsidRPr="009766B2" w:rsidRDefault="00D84885" w:rsidP="00D84885">
            <w:pPr>
              <w:pStyle w:val="NoSpacing"/>
              <w:rPr>
                <w:sz w:val="20"/>
                <w:szCs w:val="20"/>
              </w:rPr>
            </w:pPr>
            <w:r w:rsidRPr="009766B2">
              <w:rPr>
                <w:sz w:val="20"/>
                <w:szCs w:val="20"/>
              </w:rPr>
              <w:t>Staff time</w:t>
            </w:r>
          </w:p>
        </w:tc>
      </w:tr>
      <w:tr w:rsidR="00613F87" w:rsidRPr="00613F87" w14:paraId="686D5C1F" w14:textId="77777777" w:rsidTr="00603266">
        <w:trPr>
          <w:trHeight w:val="227"/>
        </w:trPr>
        <w:tc>
          <w:tcPr>
            <w:tcW w:w="1628" w:type="dxa"/>
            <w:vMerge/>
            <w:tcBorders>
              <w:left w:val="single" w:sz="4" w:space="0" w:color="auto"/>
              <w:bottom w:val="single" w:sz="4" w:space="0" w:color="auto"/>
              <w:right w:val="single" w:sz="4" w:space="0" w:color="auto"/>
            </w:tcBorders>
            <w:vAlign w:val="center"/>
          </w:tcPr>
          <w:p w14:paraId="4F8DA5CB" w14:textId="77777777" w:rsidR="00D84885" w:rsidRPr="00613F87" w:rsidRDefault="00D84885" w:rsidP="00D84885">
            <w:pPr>
              <w:pStyle w:val="NoSpacing"/>
              <w:rPr>
                <w:color w:val="FF0000"/>
                <w:sz w:val="20"/>
                <w:szCs w:val="20"/>
              </w:rPr>
            </w:pPr>
          </w:p>
        </w:tc>
        <w:tc>
          <w:tcPr>
            <w:tcW w:w="5047" w:type="dxa"/>
            <w:tcBorders>
              <w:top w:val="nil"/>
              <w:left w:val="single" w:sz="4" w:space="0" w:color="auto"/>
              <w:bottom w:val="single" w:sz="4" w:space="0" w:color="auto"/>
              <w:right w:val="single" w:sz="4" w:space="0" w:color="auto"/>
            </w:tcBorders>
            <w:noWrap/>
            <w:vAlign w:val="center"/>
          </w:tcPr>
          <w:p w14:paraId="081E4606" w14:textId="77777777" w:rsidR="00D84885" w:rsidRPr="009766B2" w:rsidRDefault="00D84885" w:rsidP="00D84885">
            <w:pPr>
              <w:pStyle w:val="NoSpacing"/>
              <w:rPr>
                <w:sz w:val="20"/>
                <w:szCs w:val="20"/>
              </w:rPr>
            </w:pPr>
            <w:r w:rsidRPr="009766B2">
              <w:rPr>
                <w:b/>
                <w:sz w:val="20"/>
                <w:szCs w:val="20"/>
              </w:rPr>
              <w:t>Other administrative activities</w:t>
            </w:r>
            <w:r w:rsidRPr="009766B2">
              <w:rPr>
                <w:sz w:val="20"/>
                <w:szCs w:val="20"/>
              </w:rPr>
              <w:t xml:space="preserve"> (please specify)</w:t>
            </w:r>
          </w:p>
        </w:tc>
        <w:tc>
          <w:tcPr>
            <w:tcW w:w="3060" w:type="dxa"/>
            <w:tcBorders>
              <w:top w:val="nil"/>
              <w:left w:val="nil"/>
              <w:bottom w:val="single" w:sz="4" w:space="0" w:color="auto"/>
              <w:right w:val="single" w:sz="4" w:space="0" w:color="auto"/>
            </w:tcBorders>
            <w:noWrap/>
            <w:vAlign w:val="center"/>
          </w:tcPr>
          <w:p w14:paraId="0C710F87" w14:textId="77777777" w:rsidR="00D84885" w:rsidRPr="009766B2" w:rsidRDefault="00D84885" w:rsidP="00D84885">
            <w:pPr>
              <w:pStyle w:val="NoSpacing"/>
              <w:rPr>
                <w:sz w:val="20"/>
                <w:szCs w:val="20"/>
              </w:rPr>
            </w:pPr>
            <w:r w:rsidRPr="009766B2">
              <w:rPr>
                <w:sz w:val="20"/>
                <w:szCs w:val="20"/>
              </w:rPr>
              <w:t> </w:t>
            </w:r>
          </w:p>
        </w:tc>
      </w:tr>
      <w:tr w:rsidR="00613F87" w:rsidRPr="00613F87" w14:paraId="71C0DCB6" w14:textId="77777777" w:rsidTr="00603266">
        <w:trPr>
          <w:trHeight w:val="227"/>
        </w:trPr>
        <w:tc>
          <w:tcPr>
            <w:tcW w:w="1628" w:type="dxa"/>
            <w:tcBorders>
              <w:top w:val="nil"/>
              <w:left w:val="nil"/>
              <w:bottom w:val="nil"/>
              <w:right w:val="nil"/>
            </w:tcBorders>
            <w:vAlign w:val="center"/>
          </w:tcPr>
          <w:p w14:paraId="4674064D" w14:textId="77777777" w:rsidR="00D84885" w:rsidRPr="00613F87" w:rsidRDefault="00D84885" w:rsidP="00D84885">
            <w:pPr>
              <w:pStyle w:val="NoSpacing"/>
              <w:rPr>
                <w:color w:val="FF0000"/>
                <w:sz w:val="20"/>
                <w:szCs w:val="20"/>
              </w:rPr>
            </w:pPr>
          </w:p>
        </w:tc>
        <w:tc>
          <w:tcPr>
            <w:tcW w:w="5047" w:type="dxa"/>
            <w:tcBorders>
              <w:top w:val="nil"/>
              <w:left w:val="nil"/>
              <w:bottom w:val="nil"/>
              <w:right w:val="nil"/>
            </w:tcBorders>
            <w:noWrap/>
            <w:vAlign w:val="center"/>
          </w:tcPr>
          <w:p w14:paraId="6C22872B" w14:textId="77777777" w:rsidR="00D84885" w:rsidRPr="00613F87" w:rsidRDefault="00D84885" w:rsidP="00D84885">
            <w:pPr>
              <w:pStyle w:val="NoSpacing"/>
              <w:rPr>
                <w:color w:val="FF0000"/>
                <w:sz w:val="20"/>
                <w:szCs w:val="20"/>
              </w:rPr>
            </w:pPr>
          </w:p>
        </w:tc>
        <w:tc>
          <w:tcPr>
            <w:tcW w:w="3060" w:type="dxa"/>
            <w:tcBorders>
              <w:top w:val="nil"/>
              <w:left w:val="nil"/>
              <w:bottom w:val="nil"/>
              <w:right w:val="nil"/>
            </w:tcBorders>
            <w:noWrap/>
            <w:vAlign w:val="center"/>
          </w:tcPr>
          <w:p w14:paraId="03A87C9A" w14:textId="77777777" w:rsidR="00D84885" w:rsidRPr="00613F87" w:rsidRDefault="00D84885" w:rsidP="00D84885">
            <w:pPr>
              <w:pStyle w:val="NoSpacing"/>
              <w:rPr>
                <w:color w:val="FF0000"/>
                <w:sz w:val="20"/>
                <w:szCs w:val="20"/>
              </w:rPr>
            </w:pPr>
          </w:p>
        </w:tc>
      </w:tr>
      <w:tr w:rsidR="00613F87" w:rsidRPr="00613F87" w14:paraId="69C68367" w14:textId="77777777" w:rsidTr="00603266">
        <w:trPr>
          <w:trHeight w:val="227"/>
        </w:trPr>
        <w:tc>
          <w:tcPr>
            <w:tcW w:w="1628" w:type="dxa"/>
            <w:vMerge w:val="restart"/>
            <w:tcBorders>
              <w:top w:val="single" w:sz="4" w:space="0" w:color="auto"/>
              <w:left w:val="single" w:sz="4" w:space="0" w:color="auto"/>
              <w:right w:val="single" w:sz="4" w:space="0" w:color="auto"/>
            </w:tcBorders>
            <w:vAlign w:val="center"/>
          </w:tcPr>
          <w:p w14:paraId="0EE017E0" w14:textId="77777777" w:rsidR="00D84885" w:rsidRPr="009766B2" w:rsidRDefault="00D84885" w:rsidP="00D84885">
            <w:pPr>
              <w:pStyle w:val="NoSpacing"/>
              <w:rPr>
                <w:sz w:val="20"/>
                <w:szCs w:val="20"/>
              </w:rPr>
            </w:pPr>
            <w:r w:rsidRPr="009766B2">
              <w:rPr>
                <w:b/>
                <w:bCs/>
                <w:sz w:val="20"/>
                <w:szCs w:val="20"/>
              </w:rPr>
              <w:t>Promotional Activities</w:t>
            </w:r>
          </w:p>
        </w:tc>
        <w:tc>
          <w:tcPr>
            <w:tcW w:w="5047" w:type="dxa"/>
            <w:tcBorders>
              <w:top w:val="single" w:sz="4" w:space="0" w:color="auto"/>
              <w:left w:val="single" w:sz="4" w:space="0" w:color="auto"/>
              <w:bottom w:val="single" w:sz="4" w:space="0" w:color="auto"/>
              <w:right w:val="single" w:sz="4" w:space="0" w:color="auto"/>
            </w:tcBorders>
            <w:noWrap/>
            <w:vAlign w:val="center"/>
          </w:tcPr>
          <w:p w14:paraId="46009343" w14:textId="77777777" w:rsidR="00D84885" w:rsidRPr="009766B2" w:rsidRDefault="00D84885" w:rsidP="00D84885">
            <w:pPr>
              <w:pStyle w:val="NoSpacing"/>
              <w:rPr>
                <w:sz w:val="20"/>
                <w:szCs w:val="20"/>
              </w:rPr>
            </w:pPr>
            <w:r w:rsidRPr="009766B2">
              <w:rPr>
                <w:sz w:val="20"/>
                <w:szCs w:val="20"/>
              </w:rPr>
              <w:t>Updating of website</w:t>
            </w:r>
          </w:p>
        </w:tc>
        <w:tc>
          <w:tcPr>
            <w:tcW w:w="3060" w:type="dxa"/>
            <w:tcBorders>
              <w:top w:val="single" w:sz="4" w:space="0" w:color="auto"/>
              <w:left w:val="nil"/>
              <w:bottom w:val="single" w:sz="4" w:space="0" w:color="auto"/>
              <w:right w:val="single" w:sz="4" w:space="0" w:color="auto"/>
            </w:tcBorders>
            <w:noWrap/>
            <w:vAlign w:val="center"/>
          </w:tcPr>
          <w:p w14:paraId="1F1E5599" w14:textId="77777777" w:rsidR="00D84885" w:rsidRPr="009766B2" w:rsidRDefault="00D84885" w:rsidP="00D84885">
            <w:pPr>
              <w:pStyle w:val="NoSpacing"/>
              <w:rPr>
                <w:sz w:val="20"/>
                <w:szCs w:val="20"/>
              </w:rPr>
            </w:pPr>
            <w:r w:rsidRPr="009766B2">
              <w:rPr>
                <w:sz w:val="20"/>
                <w:szCs w:val="20"/>
              </w:rPr>
              <w:t>Staff time/Contractor time</w:t>
            </w:r>
          </w:p>
        </w:tc>
      </w:tr>
      <w:tr w:rsidR="00613F87" w:rsidRPr="00613F87" w14:paraId="026A8A76" w14:textId="77777777" w:rsidTr="00603266">
        <w:trPr>
          <w:trHeight w:val="227"/>
        </w:trPr>
        <w:tc>
          <w:tcPr>
            <w:tcW w:w="1628" w:type="dxa"/>
            <w:vMerge/>
            <w:tcBorders>
              <w:left w:val="single" w:sz="4" w:space="0" w:color="auto"/>
              <w:right w:val="single" w:sz="4" w:space="0" w:color="auto"/>
            </w:tcBorders>
            <w:vAlign w:val="center"/>
          </w:tcPr>
          <w:p w14:paraId="7FAC08CA" w14:textId="77777777" w:rsidR="00D84885" w:rsidRPr="009766B2" w:rsidRDefault="00D84885" w:rsidP="00D84885">
            <w:pPr>
              <w:pStyle w:val="NoSpacing"/>
              <w:rPr>
                <w:sz w:val="20"/>
                <w:szCs w:val="20"/>
              </w:rPr>
            </w:pPr>
          </w:p>
        </w:tc>
        <w:tc>
          <w:tcPr>
            <w:tcW w:w="5047" w:type="dxa"/>
            <w:tcBorders>
              <w:top w:val="nil"/>
              <w:left w:val="single" w:sz="4" w:space="0" w:color="auto"/>
              <w:bottom w:val="single" w:sz="4" w:space="0" w:color="auto"/>
              <w:right w:val="single" w:sz="4" w:space="0" w:color="auto"/>
            </w:tcBorders>
            <w:noWrap/>
            <w:vAlign w:val="center"/>
          </w:tcPr>
          <w:p w14:paraId="05DA2FB0" w14:textId="77777777" w:rsidR="00D84885" w:rsidRPr="009766B2" w:rsidRDefault="00D84885" w:rsidP="00D84885">
            <w:pPr>
              <w:pStyle w:val="NoSpacing"/>
              <w:rPr>
                <w:sz w:val="20"/>
                <w:szCs w:val="20"/>
              </w:rPr>
            </w:pPr>
            <w:r w:rsidRPr="009766B2">
              <w:rPr>
                <w:sz w:val="20"/>
                <w:szCs w:val="20"/>
              </w:rPr>
              <w:t>Newspaper advertising - design of ads</w:t>
            </w:r>
          </w:p>
        </w:tc>
        <w:tc>
          <w:tcPr>
            <w:tcW w:w="3060" w:type="dxa"/>
            <w:tcBorders>
              <w:top w:val="nil"/>
              <w:left w:val="nil"/>
              <w:bottom w:val="single" w:sz="4" w:space="0" w:color="auto"/>
              <w:right w:val="single" w:sz="4" w:space="0" w:color="auto"/>
            </w:tcBorders>
            <w:noWrap/>
            <w:vAlign w:val="center"/>
          </w:tcPr>
          <w:p w14:paraId="1E64219F" w14:textId="77777777" w:rsidR="00D84885" w:rsidRPr="009766B2" w:rsidRDefault="00D84885" w:rsidP="00D84885">
            <w:pPr>
              <w:pStyle w:val="NoSpacing"/>
              <w:rPr>
                <w:sz w:val="20"/>
                <w:szCs w:val="20"/>
              </w:rPr>
            </w:pPr>
            <w:r w:rsidRPr="009766B2">
              <w:rPr>
                <w:sz w:val="20"/>
                <w:szCs w:val="20"/>
              </w:rPr>
              <w:t>Staff time/Contractor time</w:t>
            </w:r>
          </w:p>
        </w:tc>
      </w:tr>
      <w:tr w:rsidR="00613F87" w:rsidRPr="00613F87" w14:paraId="7C371B92" w14:textId="77777777" w:rsidTr="00603266">
        <w:trPr>
          <w:trHeight w:val="227"/>
        </w:trPr>
        <w:tc>
          <w:tcPr>
            <w:tcW w:w="1628" w:type="dxa"/>
            <w:vMerge/>
            <w:tcBorders>
              <w:left w:val="single" w:sz="4" w:space="0" w:color="auto"/>
              <w:right w:val="single" w:sz="4" w:space="0" w:color="auto"/>
            </w:tcBorders>
            <w:vAlign w:val="center"/>
          </w:tcPr>
          <w:p w14:paraId="4C4E7F19" w14:textId="77777777" w:rsidR="00D84885" w:rsidRPr="009766B2" w:rsidRDefault="00D84885" w:rsidP="00D84885">
            <w:pPr>
              <w:pStyle w:val="NoSpacing"/>
              <w:rPr>
                <w:sz w:val="20"/>
                <w:szCs w:val="20"/>
              </w:rPr>
            </w:pPr>
          </w:p>
        </w:tc>
        <w:tc>
          <w:tcPr>
            <w:tcW w:w="5047" w:type="dxa"/>
            <w:tcBorders>
              <w:top w:val="nil"/>
              <w:left w:val="single" w:sz="4" w:space="0" w:color="auto"/>
              <w:bottom w:val="single" w:sz="4" w:space="0" w:color="auto"/>
              <w:right w:val="single" w:sz="4" w:space="0" w:color="auto"/>
            </w:tcBorders>
            <w:noWrap/>
            <w:vAlign w:val="center"/>
          </w:tcPr>
          <w:p w14:paraId="7A6EBEB1" w14:textId="77777777" w:rsidR="00D84885" w:rsidRPr="009766B2" w:rsidRDefault="00D84885" w:rsidP="00D84885">
            <w:pPr>
              <w:pStyle w:val="NoSpacing"/>
              <w:rPr>
                <w:sz w:val="20"/>
                <w:szCs w:val="20"/>
              </w:rPr>
            </w:pPr>
            <w:r w:rsidRPr="009766B2">
              <w:rPr>
                <w:sz w:val="20"/>
                <w:szCs w:val="20"/>
              </w:rPr>
              <w:t>Newspaper advertising - placing of ads in newspapers</w:t>
            </w:r>
          </w:p>
        </w:tc>
        <w:tc>
          <w:tcPr>
            <w:tcW w:w="3060" w:type="dxa"/>
            <w:tcBorders>
              <w:top w:val="nil"/>
              <w:left w:val="nil"/>
              <w:bottom w:val="single" w:sz="4" w:space="0" w:color="auto"/>
              <w:right w:val="single" w:sz="4" w:space="0" w:color="auto"/>
            </w:tcBorders>
            <w:noWrap/>
            <w:vAlign w:val="center"/>
          </w:tcPr>
          <w:p w14:paraId="059690A1" w14:textId="77777777" w:rsidR="00D84885" w:rsidRPr="009766B2" w:rsidRDefault="00D84885" w:rsidP="00D84885">
            <w:pPr>
              <w:pStyle w:val="NoSpacing"/>
              <w:rPr>
                <w:sz w:val="20"/>
                <w:szCs w:val="20"/>
              </w:rPr>
            </w:pPr>
            <w:r w:rsidRPr="009766B2">
              <w:rPr>
                <w:sz w:val="20"/>
                <w:szCs w:val="20"/>
              </w:rPr>
              <w:t>Printing costs</w:t>
            </w:r>
          </w:p>
        </w:tc>
      </w:tr>
      <w:tr w:rsidR="00613F87" w:rsidRPr="00613F87" w14:paraId="515FA6F4" w14:textId="77777777" w:rsidTr="00603266">
        <w:trPr>
          <w:trHeight w:val="227"/>
        </w:trPr>
        <w:tc>
          <w:tcPr>
            <w:tcW w:w="1628" w:type="dxa"/>
            <w:vMerge/>
            <w:tcBorders>
              <w:left w:val="single" w:sz="4" w:space="0" w:color="auto"/>
              <w:right w:val="single" w:sz="4" w:space="0" w:color="auto"/>
            </w:tcBorders>
            <w:vAlign w:val="center"/>
          </w:tcPr>
          <w:p w14:paraId="69299AE2" w14:textId="77777777" w:rsidR="00D84885" w:rsidRPr="009766B2" w:rsidRDefault="00D84885" w:rsidP="00D84885">
            <w:pPr>
              <w:pStyle w:val="NoSpacing"/>
              <w:rPr>
                <w:sz w:val="20"/>
                <w:szCs w:val="20"/>
              </w:rPr>
            </w:pPr>
          </w:p>
        </w:tc>
        <w:tc>
          <w:tcPr>
            <w:tcW w:w="5047" w:type="dxa"/>
            <w:tcBorders>
              <w:top w:val="nil"/>
              <w:left w:val="single" w:sz="4" w:space="0" w:color="auto"/>
              <w:bottom w:val="single" w:sz="4" w:space="0" w:color="auto"/>
              <w:right w:val="single" w:sz="4" w:space="0" w:color="auto"/>
            </w:tcBorders>
            <w:noWrap/>
            <w:vAlign w:val="center"/>
          </w:tcPr>
          <w:p w14:paraId="7C27D133" w14:textId="77777777" w:rsidR="00D84885" w:rsidRPr="009766B2" w:rsidRDefault="00D84885" w:rsidP="00D84885">
            <w:pPr>
              <w:pStyle w:val="NoSpacing"/>
              <w:rPr>
                <w:sz w:val="20"/>
                <w:szCs w:val="20"/>
              </w:rPr>
            </w:pPr>
            <w:r w:rsidRPr="009766B2">
              <w:rPr>
                <w:sz w:val="20"/>
                <w:szCs w:val="20"/>
              </w:rPr>
              <w:t>Flier/brochure advertising - design of fliers</w:t>
            </w:r>
          </w:p>
        </w:tc>
        <w:tc>
          <w:tcPr>
            <w:tcW w:w="3060" w:type="dxa"/>
            <w:tcBorders>
              <w:top w:val="nil"/>
              <w:left w:val="nil"/>
              <w:bottom w:val="single" w:sz="4" w:space="0" w:color="auto"/>
              <w:right w:val="single" w:sz="4" w:space="0" w:color="auto"/>
            </w:tcBorders>
            <w:noWrap/>
            <w:vAlign w:val="center"/>
          </w:tcPr>
          <w:p w14:paraId="1E919075" w14:textId="77777777" w:rsidR="00D84885" w:rsidRPr="009766B2" w:rsidRDefault="00D84885" w:rsidP="00D84885">
            <w:pPr>
              <w:pStyle w:val="NoSpacing"/>
              <w:rPr>
                <w:sz w:val="20"/>
                <w:szCs w:val="20"/>
              </w:rPr>
            </w:pPr>
            <w:r w:rsidRPr="009766B2">
              <w:rPr>
                <w:sz w:val="20"/>
                <w:szCs w:val="20"/>
              </w:rPr>
              <w:t>Staff time/Contractor time</w:t>
            </w:r>
          </w:p>
        </w:tc>
      </w:tr>
      <w:tr w:rsidR="00613F87" w:rsidRPr="00613F87" w14:paraId="57B67074" w14:textId="77777777" w:rsidTr="00603266">
        <w:trPr>
          <w:trHeight w:val="227"/>
        </w:trPr>
        <w:tc>
          <w:tcPr>
            <w:tcW w:w="1628" w:type="dxa"/>
            <w:vMerge/>
            <w:tcBorders>
              <w:left w:val="single" w:sz="4" w:space="0" w:color="auto"/>
              <w:right w:val="single" w:sz="4" w:space="0" w:color="auto"/>
            </w:tcBorders>
            <w:vAlign w:val="center"/>
          </w:tcPr>
          <w:p w14:paraId="5D94BF4C" w14:textId="77777777" w:rsidR="00D84885" w:rsidRPr="009766B2" w:rsidRDefault="00D84885" w:rsidP="00D84885">
            <w:pPr>
              <w:pStyle w:val="NoSpacing"/>
              <w:rPr>
                <w:sz w:val="20"/>
                <w:szCs w:val="20"/>
              </w:rPr>
            </w:pPr>
          </w:p>
        </w:tc>
        <w:tc>
          <w:tcPr>
            <w:tcW w:w="5047" w:type="dxa"/>
            <w:tcBorders>
              <w:top w:val="nil"/>
              <w:left w:val="single" w:sz="4" w:space="0" w:color="auto"/>
              <w:bottom w:val="single" w:sz="4" w:space="0" w:color="auto"/>
              <w:right w:val="single" w:sz="4" w:space="0" w:color="auto"/>
            </w:tcBorders>
            <w:noWrap/>
            <w:vAlign w:val="center"/>
          </w:tcPr>
          <w:p w14:paraId="2E7BAC97" w14:textId="77777777" w:rsidR="00D84885" w:rsidRPr="009766B2" w:rsidRDefault="00D84885" w:rsidP="00D84885">
            <w:pPr>
              <w:pStyle w:val="NoSpacing"/>
              <w:rPr>
                <w:sz w:val="20"/>
                <w:szCs w:val="20"/>
              </w:rPr>
            </w:pPr>
            <w:r w:rsidRPr="009766B2">
              <w:rPr>
                <w:sz w:val="20"/>
                <w:szCs w:val="20"/>
              </w:rPr>
              <w:t>Flier/brochure advertising - printing of fliers</w:t>
            </w:r>
          </w:p>
        </w:tc>
        <w:tc>
          <w:tcPr>
            <w:tcW w:w="3060" w:type="dxa"/>
            <w:tcBorders>
              <w:top w:val="nil"/>
              <w:left w:val="nil"/>
              <w:bottom w:val="single" w:sz="4" w:space="0" w:color="auto"/>
              <w:right w:val="single" w:sz="4" w:space="0" w:color="auto"/>
            </w:tcBorders>
            <w:noWrap/>
            <w:vAlign w:val="center"/>
          </w:tcPr>
          <w:p w14:paraId="5998D87F" w14:textId="77777777" w:rsidR="00D84885" w:rsidRPr="009766B2" w:rsidRDefault="00D84885" w:rsidP="00D84885">
            <w:pPr>
              <w:pStyle w:val="NoSpacing"/>
              <w:rPr>
                <w:sz w:val="20"/>
                <w:szCs w:val="20"/>
              </w:rPr>
            </w:pPr>
            <w:r w:rsidRPr="009766B2">
              <w:rPr>
                <w:sz w:val="20"/>
                <w:szCs w:val="20"/>
              </w:rPr>
              <w:t>Printing costs</w:t>
            </w:r>
          </w:p>
        </w:tc>
      </w:tr>
      <w:tr w:rsidR="00613F87" w:rsidRPr="00613F87" w14:paraId="0B23BC80" w14:textId="77777777" w:rsidTr="00603266">
        <w:trPr>
          <w:trHeight w:val="227"/>
        </w:trPr>
        <w:tc>
          <w:tcPr>
            <w:tcW w:w="1628" w:type="dxa"/>
            <w:vMerge/>
            <w:tcBorders>
              <w:left w:val="single" w:sz="4" w:space="0" w:color="auto"/>
              <w:right w:val="single" w:sz="4" w:space="0" w:color="auto"/>
            </w:tcBorders>
            <w:vAlign w:val="center"/>
          </w:tcPr>
          <w:p w14:paraId="0D04F6B3" w14:textId="77777777" w:rsidR="00D84885" w:rsidRPr="009766B2" w:rsidRDefault="00D84885" w:rsidP="00D84885">
            <w:pPr>
              <w:pStyle w:val="NoSpacing"/>
              <w:rPr>
                <w:sz w:val="20"/>
                <w:szCs w:val="20"/>
              </w:rPr>
            </w:pPr>
          </w:p>
        </w:tc>
        <w:tc>
          <w:tcPr>
            <w:tcW w:w="5047" w:type="dxa"/>
            <w:tcBorders>
              <w:top w:val="nil"/>
              <w:left w:val="single" w:sz="4" w:space="0" w:color="auto"/>
              <w:bottom w:val="single" w:sz="4" w:space="0" w:color="auto"/>
              <w:right w:val="single" w:sz="4" w:space="0" w:color="auto"/>
            </w:tcBorders>
            <w:noWrap/>
            <w:vAlign w:val="center"/>
          </w:tcPr>
          <w:p w14:paraId="1278DB5D" w14:textId="77777777" w:rsidR="00D84885" w:rsidRPr="009766B2" w:rsidRDefault="00D84885" w:rsidP="00D84885">
            <w:pPr>
              <w:pStyle w:val="NoSpacing"/>
              <w:rPr>
                <w:sz w:val="20"/>
                <w:szCs w:val="20"/>
              </w:rPr>
            </w:pPr>
            <w:r w:rsidRPr="009766B2">
              <w:rPr>
                <w:sz w:val="20"/>
                <w:szCs w:val="20"/>
              </w:rPr>
              <w:t>Flier/brochure advertising - distribution of fliers</w:t>
            </w:r>
          </w:p>
        </w:tc>
        <w:tc>
          <w:tcPr>
            <w:tcW w:w="3060" w:type="dxa"/>
            <w:tcBorders>
              <w:top w:val="nil"/>
              <w:left w:val="nil"/>
              <w:bottom w:val="single" w:sz="4" w:space="0" w:color="auto"/>
              <w:right w:val="single" w:sz="4" w:space="0" w:color="auto"/>
            </w:tcBorders>
            <w:noWrap/>
            <w:vAlign w:val="center"/>
          </w:tcPr>
          <w:p w14:paraId="41844A50" w14:textId="77777777" w:rsidR="00D84885" w:rsidRPr="009766B2" w:rsidRDefault="00D84885" w:rsidP="00D84885">
            <w:pPr>
              <w:pStyle w:val="NoSpacing"/>
              <w:rPr>
                <w:sz w:val="20"/>
                <w:szCs w:val="20"/>
              </w:rPr>
            </w:pPr>
            <w:r w:rsidRPr="009766B2">
              <w:rPr>
                <w:sz w:val="20"/>
                <w:szCs w:val="20"/>
              </w:rPr>
              <w:t>Delivery costs</w:t>
            </w:r>
          </w:p>
        </w:tc>
      </w:tr>
      <w:tr w:rsidR="00613F87" w:rsidRPr="00613F87" w14:paraId="0E6E75E0" w14:textId="77777777" w:rsidTr="00603266">
        <w:trPr>
          <w:trHeight w:val="227"/>
        </w:trPr>
        <w:tc>
          <w:tcPr>
            <w:tcW w:w="1628" w:type="dxa"/>
            <w:vMerge/>
            <w:tcBorders>
              <w:left w:val="single" w:sz="4" w:space="0" w:color="auto"/>
              <w:bottom w:val="single" w:sz="4" w:space="0" w:color="auto"/>
              <w:right w:val="single" w:sz="4" w:space="0" w:color="auto"/>
            </w:tcBorders>
            <w:vAlign w:val="center"/>
          </w:tcPr>
          <w:p w14:paraId="75034161" w14:textId="77777777" w:rsidR="00D84885" w:rsidRPr="009766B2" w:rsidRDefault="00D84885" w:rsidP="00D84885">
            <w:pPr>
              <w:pStyle w:val="NoSpacing"/>
              <w:rPr>
                <w:sz w:val="20"/>
                <w:szCs w:val="20"/>
              </w:rPr>
            </w:pPr>
          </w:p>
        </w:tc>
        <w:tc>
          <w:tcPr>
            <w:tcW w:w="5047" w:type="dxa"/>
            <w:tcBorders>
              <w:top w:val="nil"/>
              <w:left w:val="single" w:sz="4" w:space="0" w:color="auto"/>
              <w:bottom w:val="single" w:sz="4" w:space="0" w:color="auto"/>
              <w:right w:val="single" w:sz="4" w:space="0" w:color="auto"/>
            </w:tcBorders>
            <w:noWrap/>
            <w:vAlign w:val="center"/>
          </w:tcPr>
          <w:p w14:paraId="18F02000" w14:textId="77777777" w:rsidR="00D84885" w:rsidRPr="009766B2" w:rsidRDefault="00D84885" w:rsidP="00D84885">
            <w:pPr>
              <w:pStyle w:val="NoSpacing"/>
              <w:rPr>
                <w:sz w:val="20"/>
                <w:szCs w:val="20"/>
              </w:rPr>
            </w:pPr>
            <w:r w:rsidRPr="006E584F">
              <w:rPr>
                <w:sz w:val="20"/>
                <w:szCs w:val="20"/>
              </w:rPr>
              <w:t>Other promotional activities</w:t>
            </w:r>
            <w:r w:rsidRPr="009766B2">
              <w:rPr>
                <w:b/>
                <w:sz w:val="20"/>
                <w:szCs w:val="20"/>
              </w:rPr>
              <w:t xml:space="preserve"> </w:t>
            </w:r>
            <w:r w:rsidRPr="009766B2">
              <w:rPr>
                <w:sz w:val="20"/>
                <w:szCs w:val="20"/>
              </w:rPr>
              <w:t>(please specify)</w:t>
            </w:r>
          </w:p>
        </w:tc>
        <w:tc>
          <w:tcPr>
            <w:tcW w:w="3060" w:type="dxa"/>
            <w:tcBorders>
              <w:top w:val="nil"/>
              <w:left w:val="nil"/>
              <w:bottom w:val="single" w:sz="4" w:space="0" w:color="auto"/>
              <w:right w:val="single" w:sz="4" w:space="0" w:color="auto"/>
            </w:tcBorders>
            <w:noWrap/>
            <w:vAlign w:val="center"/>
          </w:tcPr>
          <w:p w14:paraId="4F0859EB" w14:textId="77777777" w:rsidR="00D84885" w:rsidRPr="009766B2" w:rsidRDefault="00D84885" w:rsidP="00D84885">
            <w:pPr>
              <w:pStyle w:val="NoSpacing"/>
              <w:rPr>
                <w:sz w:val="20"/>
                <w:szCs w:val="20"/>
              </w:rPr>
            </w:pPr>
            <w:r w:rsidRPr="009766B2">
              <w:rPr>
                <w:sz w:val="20"/>
                <w:szCs w:val="20"/>
              </w:rPr>
              <w:t> </w:t>
            </w:r>
          </w:p>
        </w:tc>
      </w:tr>
      <w:tr w:rsidR="00613F87" w:rsidRPr="00613F87" w14:paraId="2EA54EE8" w14:textId="77777777" w:rsidTr="00603266">
        <w:trPr>
          <w:trHeight w:val="227"/>
        </w:trPr>
        <w:tc>
          <w:tcPr>
            <w:tcW w:w="1628" w:type="dxa"/>
            <w:tcBorders>
              <w:top w:val="nil"/>
              <w:left w:val="nil"/>
              <w:bottom w:val="nil"/>
              <w:right w:val="nil"/>
            </w:tcBorders>
            <w:vAlign w:val="center"/>
          </w:tcPr>
          <w:p w14:paraId="3EACBC43" w14:textId="77777777" w:rsidR="00D84885" w:rsidRPr="00613F87" w:rsidRDefault="00D84885" w:rsidP="00D84885">
            <w:pPr>
              <w:pStyle w:val="NoSpacing"/>
              <w:rPr>
                <w:color w:val="FF0000"/>
                <w:sz w:val="20"/>
                <w:szCs w:val="20"/>
              </w:rPr>
            </w:pPr>
          </w:p>
        </w:tc>
        <w:tc>
          <w:tcPr>
            <w:tcW w:w="5047" w:type="dxa"/>
            <w:tcBorders>
              <w:top w:val="nil"/>
              <w:left w:val="nil"/>
              <w:bottom w:val="nil"/>
              <w:right w:val="nil"/>
            </w:tcBorders>
            <w:noWrap/>
            <w:vAlign w:val="center"/>
          </w:tcPr>
          <w:p w14:paraId="03BF1E6D" w14:textId="77777777" w:rsidR="00D84885" w:rsidRPr="00613F87" w:rsidRDefault="00D84885" w:rsidP="00D84885">
            <w:pPr>
              <w:pStyle w:val="NoSpacing"/>
              <w:rPr>
                <w:color w:val="FF0000"/>
                <w:sz w:val="20"/>
                <w:szCs w:val="20"/>
              </w:rPr>
            </w:pPr>
          </w:p>
        </w:tc>
        <w:tc>
          <w:tcPr>
            <w:tcW w:w="3060" w:type="dxa"/>
            <w:tcBorders>
              <w:top w:val="nil"/>
              <w:left w:val="nil"/>
              <w:bottom w:val="nil"/>
              <w:right w:val="nil"/>
            </w:tcBorders>
            <w:noWrap/>
            <w:vAlign w:val="center"/>
          </w:tcPr>
          <w:p w14:paraId="55FEE508" w14:textId="77777777" w:rsidR="00D84885" w:rsidRPr="00613F87" w:rsidRDefault="00D84885" w:rsidP="00D84885">
            <w:pPr>
              <w:pStyle w:val="NoSpacing"/>
              <w:rPr>
                <w:color w:val="FF0000"/>
                <w:sz w:val="20"/>
                <w:szCs w:val="20"/>
              </w:rPr>
            </w:pPr>
          </w:p>
        </w:tc>
      </w:tr>
      <w:tr w:rsidR="00613F87" w:rsidRPr="00613F87" w14:paraId="1E543822" w14:textId="77777777" w:rsidTr="00603266">
        <w:trPr>
          <w:trHeight w:val="227"/>
        </w:trPr>
        <w:tc>
          <w:tcPr>
            <w:tcW w:w="1628" w:type="dxa"/>
            <w:vMerge w:val="restart"/>
            <w:tcBorders>
              <w:top w:val="single" w:sz="4" w:space="0" w:color="auto"/>
              <w:left w:val="single" w:sz="4" w:space="0" w:color="auto"/>
              <w:right w:val="single" w:sz="4" w:space="0" w:color="auto"/>
            </w:tcBorders>
            <w:vAlign w:val="center"/>
          </w:tcPr>
          <w:p w14:paraId="16D0DC72" w14:textId="77777777" w:rsidR="00D84885" w:rsidRPr="009766B2" w:rsidRDefault="00D84885" w:rsidP="00D84885">
            <w:pPr>
              <w:pStyle w:val="NoSpacing"/>
              <w:rPr>
                <w:sz w:val="20"/>
                <w:szCs w:val="20"/>
              </w:rPr>
            </w:pPr>
            <w:r w:rsidRPr="009766B2">
              <w:rPr>
                <w:b/>
                <w:bCs/>
                <w:sz w:val="20"/>
                <w:szCs w:val="20"/>
              </w:rPr>
              <w:t>Operation of Permanent HHW Facility</w:t>
            </w:r>
          </w:p>
        </w:tc>
        <w:tc>
          <w:tcPr>
            <w:tcW w:w="5047" w:type="dxa"/>
            <w:tcBorders>
              <w:top w:val="single" w:sz="4" w:space="0" w:color="auto"/>
              <w:left w:val="single" w:sz="4" w:space="0" w:color="auto"/>
              <w:bottom w:val="single" w:sz="4" w:space="0" w:color="auto"/>
              <w:right w:val="single" w:sz="4" w:space="0" w:color="auto"/>
            </w:tcBorders>
            <w:noWrap/>
            <w:vAlign w:val="center"/>
          </w:tcPr>
          <w:p w14:paraId="65A5C3CC" w14:textId="77777777" w:rsidR="00D84885" w:rsidRPr="009766B2" w:rsidRDefault="00D84885" w:rsidP="00D84885">
            <w:pPr>
              <w:pStyle w:val="NoSpacing"/>
              <w:rPr>
                <w:sz w:val="20"/>
                <w:szCs w:val="20"/>
              </w:rPr>
            </w:pPr>
            <w:r w:rsidRPr="009766B2">
              <w:rPr>
                <w:sz w:val="20"/>
                <w:szCs w:val="20"/>
              </w:rPr>
              <w:t>Sorting and storing of HHW</w:t>
            </w:r>
          </w:p>
        </w:tc>
        <w:tc>
          <w:tcPr>
            <w:tcW w:w="3060" w:type="dxa"/>
            <w:tcBorders>
              <w:top w:val="single" w:sz="4" w:space="0" w:color="auto"/>
              <w:left w:val="nil"/>
              <w:bottom w:val="single" w:sz="4" w:space="0" w:color="auto"/>
              <w:right w:val="single" w:sz="4" w:space="0" w:color="auto"/>
            </w:tcBorders>
            <w:noWrap/>
            <w:vAlign w:val="center"/>
          </w:tcPr>
          <w:p w14:paraId="235566C4" w14:textId="77777777" w:rsidR="00D84885" w:rsidRPr="009766B2" w:rsidRDefault="00D84885" w:rsidP="00D84885">
            <w:pPr>
              <w:pStyle w:val="NoSpacing"/>
              <w:rPr>
                <w:sz w:val="20"/>
                <w:szCs w:val="20"/>
              </w:rPr>
            </w:pPr>
            <w:r w:rsidRPr="009766B2">
              <w:rPr>
                <w:sz w:val="20"/>
                <w:szCs w:val="20"/>
              </w:rPr>
              <w:t>Staff time</w:t>
            </w:r>
          </w:p>
        </w:tc>
      </w:tr>
      <w:tr w:rsidR="00613F87" w:rsidRPr="00613F87" w14:paraId="13905140" w14:textId="77777777" w:rsidTr="00603266">
        <w:trPr>
          <w:trHeight w:val="227"/>
        </w:trPr>
        <w:tc>
          <w:tcPr>
            <w:tcW w:w="1628" w:type="dxa"/>
            <w:vMerge/>
            <w:tcBorders>
              <w:left w:val="single" w:sz="4" w:space="0" w:color="auto"/>
              <w:right w:val="single" w:sz="4" w:space="0" w:color="auto"/>
            </w:tcBorders>
            <w:vAlign w:val="center"/>
          </w:tcPr>
          <w:p w14:paraId="1FFA3C68" w14:textId="77777777" w:rsidR="00D84885" w:rsidRPr="009766B2" w:rsidRDefault="00D84885" w:rsidP="00D84885">
            <w:pPr>
              <w:pStyle w:val="NoSpacing"/>
              <w:rPr>
                <w:sz w:val="20"/>
                <w:szCs w:val="20"/>
              </w:rPr>
            </w:pPr>
          </w:p>
        </w:tc>
        <w:tc>
          <w:tcPr>
            <w:tcW w:w="5047" w:type="dxa"/>
            <w:tcBorders>
              <w:top w:val="nil"/>
              <w:left w:val="single" w:sz="4" w:space="0" w:color="auto"/>
              <w:bottom w:val="single" w:sz="4" w:space="0" w:color="auto"/>
              <w:right w:val="single" w:sz="4" w:space="0" w:color="auto"/>
            </w:tcBorders>
            <w:noWrap/>
            <w:vAlign w:val="center"/>
          </w:tcPr>
          <w:p w14:paraId="5DEC2344" w14:textId="77777777" w:rsidR="00D84885" w:rsidRPr="009766B2" w:rsidRDefault="00D84885" w:rsidP="00D84885">
            <w:pPr>
              <w:pStyle w:val="NoSpacing"/>
              <w:rPr>
                <w:sz w:val="20"/>
                <w:szCs w:val="20"/>
              </w:rPr>
            </w:pPr>
            <w:r w:rsidRPr="009766B2">
              <w:rPr>
                <w:sz w:val="20"/>
                <w:szCs w:val="20"/>
              </w:rPr>
              <w:t>Maintenance/supply of First Aid equipment on site</w:t>
            </w:r>
          </w:p>
        </w:tc>
        <w:tc>
          <w:tcPr>
            <w:tcW w:w="3060" w:type="dxa"/>
            <w:tcBorders>
              <w:top w:val="nil"/>
              <w:left w:val="nil"/>
              <w:bottom w:val="single" w:sz="4" w:space="0" w:color="auto"/>
              <w:right w:val="single" w:sz="4" w:space="0" w:color="auto"/>
            </w:tcBorders>
            <w:noWrap/>
            <w:vAlign w:val="center"/>
          </w:tcPr>
          <w:p w14:paraId="4711DE77" w14:textId="77777777" w:rsidR="00D84885" w:rsidRPr="009766B2" w:rsidRDefault="00D84885" w:rsidP="00D84885">
            <w:pPr>
              <w:pStyle w:val="NoSpacing"/>
              <w:rPr>
                <w:sz w:val="20"/>
                <w:szCs w:val="20"/>
              </w:rPr>
            </w:pPr>
            <w:r w:rsidRPr="009766B2">
              <w:rPr>
                <w:sz w:val="20"/>
                <w:szCs w:val="20"/>
              </w:rPr>
              <w:t>Purchase of equipment</w:t>
            </w:r>
          </w:p>
        </w:tc>
      </w:tr>
      <w:tr w:rsidR="00613F87" w:rsidRPr="00613F87" w14:paraId="34991893" w14:textId="77777777" w:rsidTr="00603266">
        <w:trPr>
          <w:trHeight w:val="227"/>
        </w:trPr>
        <w:tc>
          <w:tcPr>
            <w:tcW w:w="1628" w:type="dxa"/>
            <w:vMerge/>
            <w:tcBorders>
              <w:left w:val="single" w:sz="4" w:space="0" w:color="auto"/>
              <w:right w:val="single" w:sz="4" w:space="0" w:color="auto"/>
            </w:tcBorders>
            <w:vAlign w:val="center"/>
          </w:tcPr>
          <w:p w14:paraId="2289CBCF" w14:textId="77777777" w:rsidR="00D84885" w:rsidRPr="009766B2" w:rsidRDefault="00D84885" w:rsidP="00D84885">
            <w:pPr>
              <w:pStyle w:val="NoSpacing"/>
              <w:rPr>
                <w:sz w:val="20"/>
                <w:szCs w:val="20"/>
              </w:rPr>
            </w:pPr>
          </w:p>
        </w:tc>
        <w:tc>
          <w:tcPr>
            <w:tcW w:w="5047" w:type="dxa"/>
            <w:tcBorders>
              <w:top w:val="nil"/>
              <w:left w:val="single" w:sz="4" w:space="0" w:color="auto"/>
              <w:bottom w:val="single" w:sz="4" w:space="0" w:color="auto"/>
              <w:right w:val="single" w:sz="4" w:space="0" w:color="auto"/>
            </w:tcBorders>
            <w:noWrap/>
            <w:vAlign w:val="center"/>
          </w:tcPr>
          <w:p w14:paraId="1B5C8996" w14:textId="77777777" w:rsidR="00D84885" w:rsidRPr="009766B2" w:rsidRDefault="00D84885" w:rsidP="00D84885">
            <w:pPr>
              <w:pStyle w:val="NoSpacing"/>
              <w:rPr>
                <w:sz w:val="20"/>
                <w:szCs w:val="20"/>
              </w:rPr>
            </w:pPr>
            <w:r w:rsidRPr="009766B2">
              <w:rPr>
                <w:sz w:val="20"/>
                <w:szCs w:val="20"/>
              </w:rPr>
              <w:t xml:space="preserve">Maintenance/supply of PPE </w:t>
            </w:r>
            <w:r w:rsidR="00B8562B">
              <w:rPr>
                <w:sz w:val="20"/>
                <w:szCs w:val="20"/>
              </w:rPr>
              <w:t xml:space="preserve">&amp; safety equipment </w:t>
            </w:r>
            <w:r w:rsidRPr="009766B2">
              <w:rPr>
                <w:sz w:val="20"/>
                <w:szCs w:val="20"/>
              </w:rPr>
              <w:t>on site</w:t>
            </w:r>
          </w:p>
        </w:tc>
        <w:tc>
          <w:tcPr>
            <w:tcW w:w="3060" w:type="dxa"/>
            <w:tcBorders>
              <w:top w:val="nil"/>
              <w:left w:val="nil"/>
              <w:bottom w:val="single" w:sz="4" w:space="0" w:color="auto"/>
              <w:right w:val="single" w:sz="4" w:space="0" w:color="auto"/>
            </w:tcBorders>
            <w:noWrap/>
            <w:vAlign w:val="center"/>
          </w:tcPr>
          <w:p w14:paraId="4816FA9C" w14:textId="77777777" w:rsidR="00D84885" w:rsidRPr="009766B2" w:rsidRDefault="00D84885" w:rsidP="00D84885">
            <w:pPr>
              <w:pStyle w:val="NoSpacing"/>
              <w:rPr>
                <w:sz w:val="20"/>
                <w:szCs w:val="20"/>
              </w:rPr>
            </w:pPr>
            <w:r w:rsidRPr="009766B2">
              <w:rPr>
                <w:sz w:val="20"/>
                <w:szCs w:val="20"/>
              </w:rPr>
              <w:t>Purchase of equipment</w:t>
            </w:r>
          </w:p>
        </w:tc>
      </w:tr>
      <w:tr w:rsidR="00613F87" w:rsidRPr="00613F87" w14:paraId="6A5D6CCB" w14:textId="77777777" w:rsidTr="00603266">
        <w:trPr>
          <w:trHeight w:val="227"/>
        </w:trPr>
        <w:tc>
          <w:tcPr>
            <w:tcW w:w="1628" w:type="dxa"/>
            <w:vMerge/>
            <w:tcBorders>
              <w:left w:val="single" w:sz="4" w:space="0" w:color="auto"/>
              <w:right w:val="single" w:sz="4" w:space="0" w:color="auto"/>
            </w:tcBorders>
            <w:vAlign w:val="center"/>
          </w:tcPr>
          <w:p w14:paraId="70509A70" w14:textId="77777777" w:rsidR="00D84885" w:rsidRPr="009766B2" w:rsidRDefault="00D84885" w:rsidP="00D84885">
            <w:pPr>
              <w:pStyle w:val="NoSpacing"/>
              <w:rPr>
                <w:sz w:val="20"/>
                <w:szCs w:val="20"/>
              </w:rPr>
            </w:pPr>
          </w:p>
        </w:tc>
        <w:tc>
          <w:tcPr>
            <w:tcW w:w="5047" w:type="dxa"/>
            <w:tcBorders>
              <w:top w:val="nil"/>
              <w:left w:val="single" w:sz="4" w:space="0" w:color="auto"/>
              <w:bottom w:val="single" w:sz="4" w:space="0" w:color="auto"/>
              <w:right w:val="single" w:sz="4" w:space="0" w:color="auto"/>
            </w:tcBorders>
            <w:noWrap/>
            <w:vAlign w:val="center"/>
          </w:tcPr>
          <w:p w14:paraId="5F41AF20" w14:textId="77777777" w:rsidR="00D84885" w:rsidRPr="009766B2" w:rsidRDefault="00D84885" w:rsidP="00D84885">
            <w:pPr>
              <w:pStyle w:val="NoSpacing"/>
              <w:rPr>
                <w:sz w:val="20"/>
                <w:szCs w:val="20"/>
              </w:rPr>
            </w:pPr>
            <w:r w:rsidRPr="009766B2">
              <w:rPr>
                <w:sz w:val="20"/>
                <w:szCs w:val="20"/>
              </w:rPr>
              <w:t>Vehicle use (percentage attributed to HHW Program activities) (e.g. forklift, truck, loader)</w:t>
            </w:r>
          </w:p>
        </w:tc>
        <w:tc>
          <w:tcPr>
            <w:tcW w:w="3060" w:type="dxa"/>
            <w:tcBorders>
              <w:top w:val="nil"/>
              <w:left w:val="nil"/>
              <w:bottom w:val="single" w:sz="4" w:space="0" w:color="auto"/>
              <w:right w:val="single" w:sz="4" w:space="0" w:color="auto"/>
            </w:tcBorders>
            <w:noWrap/>
            <w:vAlign w:val="center"/>
          </w:tcPr>
          <w:p w14:paraId="75E842F3" w14:textId="77777777" w:rsidR="00D84885" w:rsidRPr="009766B2" w:rsidRDefault="00D84885" w:rsidP="00D84885">
            <w:pPr>
              <w:pStyle w:val="NoSpacing"/>
              <w:rPr>
                <w:sz w:val="20"/>
                <w:szCs w:val="20"/>
              </w:rPr>
            </w:pPr>
            <w:r w:rsidRPr="009766B2">
              <w:rPr>
                <w:sz w:val="20"/>
                <w:szCs w:val="20"/>
              </w:rPr>
              <w:t>Staff time,  operating costs and depreciation</w:t>
            </w:r>
          </w:p>
        </w:tc>
      </w:tr>
      <w:tr w:rsidR="00613F87" w:rsidRPr="00613F87" w14:paraId="4536D68E" w14:textId="77777777" w:rsidTr="00603266">
        <w:trPr>
          <w:trHeight w:val="227"/>
        </w:trPr>
        <w:tc>
          <w:tcPr>
            <w:tcW w:w="1628" w:type="dxa"/>
            <w:vMerge/>
            <w:tcBorders>
              <w:left w:val="single" w:sz="4" w:space="0" w:color="auto"/>
              <w:right w:val="single" w:sz="4" w:space="0" w:color="auto"/>
            </w:tcBorders>
            <w:vAlign w:val="center"/>
          </w:tcPr>
          <w:p w14:paraId="1D23A627" w14:textId="77777777" w:rsidR="00D84885" w:rsidRPr="009766B2" w:rsidRDefault="00D84885" w:rsidP="00D84885">
            <w:pPr>
              <w:pStyle w:val="NoSpacing"/>
              <w:rPr>
                <w:sz w:val="20"/>
                <w:szCs w:val="20"/>
              </w:rPr>
            </w:pPr>
          </w:p>
        </w:tc>
        <w:tc>
          <w:tcPr>
            <w:tcW w:w="5047" w:type="dxa"/>
            <w:tcBorders>
              <w:top w:val="nil"/>
              <w:left w:val="single" w:sz="4" w:space="0" w:color="auto"/>
              <w:bottom w:val="single" w:sz="4" w:space="0" w:color="auto"/>
              <w:right w:val="single" w:sz="4" w:space="0" w:color="auto"/>
            </w:tcBorders>
            <w:noWrap/>
            <w:vAlign w:val="center"/>
          </w:tcPr>
          <w:p w14:paraId="7BA9EA0D" w14:textId="77777777" w:rsidR="00D84885" w:rsidRPr="009766B2" w:rsidRDefault="00D84885" w:rsidP="00D84885">
            <w:pPr>
              <w:pStyle w:val="NoSpacing"/>
              <w:rPr>
                <w:sz w:val="20"/>
                <w:szCs w:val="20"/>
              </w:rPr>
            </w:pPr>
            <w:r w:rsidRPr="009766B2">
              <w:rPr>
                <w:sz w:val="20"/>
                <w:szCs w:val="20"/>
              </w:rPr>
              <w:t>Vehicle maintenance (percentage attributed to HHW Program activities) (e.g. forklift, truck)</w:t>
            </w:r>
          </w:p>
        </w:tc>
        <w:tc>
          <w:tcPr>
            <w:tcW w:w="3060" w:type="dxa"/>
            <w:tcBorders>
              <w:top w:val="nil"/>
              <w:left w:val="nil"/>
              <w:bottom w:val="single" w:sz="4" w:space="0" w:color="auto"/>
              <w:right w:val="single" w:sz="4" w:space="0" w:color="auto"/>
            </w:tcBorders>
            <w:noWrap/>
            <w:vAlign w:val="center"/>
          </w:tcPr>
          <w:p w14:paraId="4084E44B" w14:textId="77777777" w:rsidR="00D84885" w:rsidRPr="009766B2" w:rsidRDefault="00D84885" w:rsidP="00D84885">
            <w:pPr>
              <w:pStyle w:val="NoSpacing"/>
              <w:rPr>
                <w:sz w:val="20"/>
                <w:szCs w:val="20"/>
              </w:rPr>
            </w:pPr>
            <w:r w:rsidRPr="009766B2">
              <w:rPr>
                <w:sz w:val="20"/>
                <w:szCs w:val="20"/>
              </w:rPr>
              <w:t>Staff time, parts</w:t>
            </w:r>
          </w:p>
        </w:tc>
      </w:tr>
      <w:tr w:rsidR="00613F87" w:rsidRPr="00613F87" w14:paraId="2059928E" w14:textId="77777777" w:rsidTr="00603266">
        <w:trPr>
          <w:trHeight w:val="227"/>
        </w:trPr>
        <w:tc>
          <w:tcPr>
            <w:tcW w:w="1628" w:type="dxa"/>
            <w:vMerge/>
            <w:tcBorders>
              <w:left w:val="single" w:sz="4" w:space="0" w:color="auto"/>
              <w:right w:val="single" w:sz="4" w:space="0" w:color="auto"/>
            </w:tcBorders>
            <w:vAlign w:val="center"/>
          </w:tcPr>
          <w:p w14:paraId="63D1E019" w14:textId="77777777" w:rsidR="00D84885" w:rsidRPr="009766B2" w:rsidRDefault="00D84885" w:rsidP="00D84885">
            <w:pPr>
              <w:pStyle w:val="NoSpacing"/>
              <w:rPr>
                <w:sz w:val="20"/>
                <w:szCs w:val="20"/>
              </w:rPr>
            </w:pPr>
          </w:p>
        </w:tc>
        <w:tc>
          <w:tcPr>
            <w:tcW w:w="5047" w:type="dxa"/>
            <w:tcBorders>
              <w:top w:val="nil"/>
              <w:left w:val="single" w:sz="4" w:space="0" w:color="auto"/>
              <w:bottom w:val="single" w:sz="4" w:space="0" w:color="auto"/>
              <w:right w:val="single" w:sz="4" w:space="0" w:color="auto"/>
            </w:tcBorders>
            <w:noWrap/>
            <w:vAlign w:val="center"/>
          </w:tcPr>
          <w:p w14:paraId="058F091C" w14:textId="77777777" w:rsidR="00D84885" w:rsidRPr="009766B2" w:rsidRDefault="00D84885" w:rsidP="00D84885">
            <w:pPr>
              <w:pStyle w:val="NoSpacing"/>
              <w:rPr>
                <w:sz w:val="20"/>
                <w:szCs w:val="20"/>
              </w:rPr>
            </w:pPr>
            <w:r w:rsidRPr="009766B2">
              <w:rPr>
                <w:sz w:val="20"/>
                <w:szCs w:val="20"/>
              </w:rPr>
              <w:t>Maintenance of permanent HHW facility</w:t>
            </w:r>
          </w:p>
        </w:tc>
        <w:tc>
          <w:tcPr>
            <w:tcW w:w="3060" w:type="dxa"/>
            <w:tcBorders>
              <w:top w:val="nil"/>
              <w:left w:val="nil"/>
              <w:bottom w:val="single" w:sz="4" w:space="0" w:color="auto"/>
              <w:right w:val="single" w:sz="4" w:space="0" w:color="auto"/>
            </w:tcBorders>
            <w:noWrap/>
            <w:vAlign w:val="center"/>
          </w:tcPr>
          <w:p w14:paraId="5B5D2B78" w14:textId="77777777" w:rsidR="00D84885" w:rsidRPr="009766B2" w:rsidRDefault="00D84885" w:rsidP="00D84885">
            <w:pPr>
              <w:pStyle w:val="NoSpacing"/>
              <w:rPr>
                <w:sz w:val="20"/>
                <w:szCs w:val="20"/>
              </w:rPr>
            </w:pPr>
            <w:r w:rsidRPr="009766B2">
              <w:rPr>
                <w:sz w:val="20"/>
                <w:szCs w:val="20"/>
              </w:rPr>
              <w:t>Staff time, parts</w:t>
            </w:r>
          </w:p>
        </w:tc>
      </w:tr>
      <w:tr w:rsidR="00613F87" w:rsidRPr="00613F87" w14:paraId="1D2738CF" w14:textId="77777777" w:rsidTr="00603266">
        <w:trPr>
          <w:trHeight w:val="227"/>
        </w:trPr>
        <w:tc>
          <w:tcPr>
            <w:tcW w:w="1628" w:type="dxa"/>
            <w:vMerge/>
            <w:tcBorders>
              <w:left w:val="single" w:sz="4" w:space="0" w:color="auto"/>
              <w:right w:val="single" w:sz="4" w:space="0" w:color="auto"/>
            </w:tcBorders>
            <w:vAlign w:val="center"/>
          </w:tcPr>
          <w:p w14:paraId="27582402" w14:textId="77777777" w:rsidR="00D84885" w:rsidRPr="009766B2" w:rsidRDefault="00D84885" w:rsidP="00D84885">
            <w:pPr>
              <w:pStyle w:val="NoSpacing"/>
              <w:rPr>
                <w:sz w:val="20"/>
                <w:szCs w:val="20"/>
              </w:rPr>
            </w:pPr>
          </w:p>
        </w:tc>
        <w:tc>
          <w:tcPr>
            <w:tcW w:w="5047" w:type="dxa"/>
            <w:tcBorders>
              <w:top w:val="nil"/>
              <w:left w:val="single" w:sz="4" w:space="0" w:color="auto"/>
              <w:bottom w:val="single" w:sz="4" w:space="0" w:color="auto"/>
              <w:right w:val="single" w:sz="4" w:space="0" w:color="auto"/>
            </w:tcBorders>
            <w:noWrap/>
            <w:vAlign w:val="center"/>
          </w:tcPr>
          <w:p w14:paraId="7B6A3312" w14:textId="77777777" w:rsidR="00D84885" w:rsidRPr="009766B2" w:rsidRDefault="009766B2" w:rsidP="00D84885">
            <w:pPr>
              <w:pStyle w:val="NoSpacing"/>
              <w:rPr>
                <w:sz w:val="20"/>
                <w:szCs w:val="20"/>
              </w:rPr>
            </w:pPr>
            <w:r w:rsidRPr="009766B2">
              <w:rPr>
                <w:sz w:val="20"/>
                <w:szCs w:val="20"/>
              </w:rPr>
              <w:t xml:space="preserve">Cleaning of permanent HHW </w:t>
            </w:r>
            <w:r w:rsidR="00D84885" w:rsidRPr="009766B2">
              <w:rPr>
                <w:sz w:val="20"/>
                <w:szCs w:val="20"/>
              </w:rPr>
              <w:t>facility</w:t>
            </w:r>
          </w:p>
        </w:tc>
        <w:tc>
          <w:tcPr>
            <w:tcW w:w="3060" w:type="dxa"/>
            <w:tcBorders>
              <w:top w:val="nil"/>
              <w:left w:val="nil"/>
              <w:bottom w:val="single" w:sz="4" w:space="0" w:color="auto"/>
              <w:right w:val="single" w:sz="4" w:space="0" w:color="auto"/>
            </w:tcBorders>
            <w:noWrap/>
            <w:vAlign w:val="center"/>
          </w:tcPr>
          <w:p w14:paraId="34362B48" w14:textId="77777777" w:rsidR="00D84885" w:rsidRPr="009766B2" w:rsidRDefault="00D84885" w:rsidP="00D84885">
            <w:pPr>
              <w:pStyle w:val="NoSpacing"/>
              <w:rPr>
                <w:sz w:val="20"/>
                <w:szCs w:val="20"/>
              </w:rPr>
            </w:pPr>
            <w:r w:rsidRPr="009766B2">
              <w:rPr>
                <w:sz w:val="20"/>
                <w:szCs w:val="20"/>
              </w:rPr>
              <w:t>Staff time, hire/use of equipment</w:t>
            </w:r>
          </w:p>
        </w:tc>
      </w:tr>
      <w:tr w:rsidR="00613F87" w:rsidRPr="00613F87" w14:paraId="7B442FB2" w14:textId="77777777" w:rsidTr="00B8562B">
        <w:trPr>
          <w:trHeight w:val="227"/>
        </w:trPr>
        <w:tc>
          <w:tcPr>
            <w:tcW w:w="1628" w:type="dxa"/>
            <w:vMerge/>
            <w:tcBorders>
              <w:left w:val="single" w:sz="4" w:space="0" w:color="auto"/>
              <w:bottom w:val="single" w:sz="4" w:space="0" w:color="auto"/>
              <w:right w:val="single" w:sz="4" w:space="0" w:color="auto"/>
            </w:tcBorders>
            <w:vAlign w:val="center"/>
          </w:tcPr>
          <w:p w14:paraId="04BB13E7" w14:textId="77777777" w:rsidR="00D84885" w:rsidRPr="009766B2" w:rsidRDefault="00D84885" w:rsidP="00D84885">
            <w:pPr>
              <w:pStyle w:val="NoSpacing"/>
              <w:rPr>
                <w:sz w:val="20"/>
                <w:szCs w:val="20"/>
              </w:rPr>
            </w:pPr>
          </w:p>
        </w:tc>
        <w:tc>
          <w:tcPr>
            <w:tcW w:w="5047" w:type="dxa"/>
            <w:tcBorders>
              <w:top w:val="nil"/>
              <w:left w:val="single" w:sz="4" w:space="0" w:color="auto"/>
              <w:bottom w:val="single" w:sz="4" w:space="0" w:color="auto"/>
              <w:right w:val="single" w:sz="4" w:space="0" w:color="auto"/>
            </w:tcBorders>
            <w:noWrap/>
            <w:vAlign w:val="center"/>
          </w:tcPr>
          <w:p w14:paraId="17F728F6" w14:textId="77777777" w:rsidR="00D84885" w:rsidRPr="009766B2" w:rsidRDefault="009766B2" w:rsidP="00D84885">
            <w:pPr>
              <w:pStyle w:val="NoSpacing"/>
              <w:rPr>
                <w:sz w:val="20"/>
                <w:szCs w:val="20"/>
              </w:rPr>
            </w:pPr>
            <w:r w:rsidRPr="009766B2">
              <w:rPr>
                <w:sz w:val="20"/>
                <w:szCs w:val="20"/>
              </w:rPr>
              <w:t>Use of weighbridge for HHW activities</w:t>
            </w:r>
          </w:p>
        </w:tc>
        <w:tc>
          <w:tcPr>
            <w:tcW w:w="3060" w:type="dxa"/>
            <w:tcBorders>
              <w:top w:val="nil"/>
              <w:left w:val="nil"/>
              <w:bottom w:val="single" w:sz="4" w:space="0" w:color="auto"/>
              <w:right w:val="single" w:sz="4" w:space="0" w:color="auto"/>
            </w:tcBorders>
            <w:noWrap/>
            <w:vAlign w:val="center"/>
          </w:tcPr>
          <w:p w14:paraId="7FEB2700" w14:textId="77777777" w:rsidR="00D84885" w:rsidRPr="009766B2" w:rsidRDefault="009766B2" w:rsidP="00D84885">
            <w:pPr>
              <w:pStyle w:val="NoSpacing"/>
              <w:rPr>
                <w:sz w:val="20"/>
                <w:szCs w:val="20"/>
              </w:rPr>
            </w:pPr>
            <w:r w:rsidRPr="009766B2">
              <w:rPr>
                <w:sz w:val="20"/>
                <w:szCs w:val="20"/>
              </w:rPr>
              <w:t>Staff time</w:t>
            </w:r>
          </w:p>
        </w:tc>
      </w:tr>
      <w:tr w:rsidR="00613F87" w:rsidRPr="00613F87" w14:paraId="1022CB62" w14:textId="77777777" w:rsidTr="00B8562B">
        <w:trPr>
          <w:trHeight w:val="255"/>
        </w:trPr>
        <w:tc>
          <w:tcPr>
            <w:tcW w:w="1628" w:type="dxa"/>
            <w:tcBorders>
              <w:top w:val="single" w:sz="4" w:space="0" w:color="auto"/>
              <w:bottom w:val="single" w:sz="4" w:space="0" w:color="auto"/>
            </w:tcBorders>
            <w:vAlign w:val="center"/>
          </w:tcPr>
          <w:p w14:paraId="01E6B3E2" w14:textId="77777777" w:rsidR="00D84885" w:rsidRPr="00613F87" w:rsidRDefault="00D84885" w:rsidP="00D84885">
            <w:pPr>
              <w:pStyle w:val="NoSpacing"/>
              <w:rPr>
                <w:color w:val="FF0000"/>
                <w:sz w:val="20"/>
                <w:szCs w:val="20"/>
              </w:rPr>
            </w:pPr>
          </w:p>
        </w:tc>
        <w:tc>
          <w:tcPr>
            <w:tcW w:w="5047" w:type="dxa"/>
            <w:tcBorders>
              <w:top w:val="single" w:sz="4" w:space="0" w:color="auto"/>
              <w:bottom w:val="single" w:sz="4" w:space="0" w:color="auto"/>
            </w:tcBorders>
            <w:noWrap/>
            <w:vAlign w:val="center"/>
          </w:tcPr>
          <w:p w14:paraId="0A8F8E17" w14:textId="77777777" w:rsidR="00D84885" w:rsidRPr="00613F87" w:rsidRDefault="00D84885" w:rsidP="00D84885">
            <w:pPr>
              <w:pStyle w:val="NoSpacing"/>
              <w:rPr>
                <w:color w:val="FF0000"/>
                <w:sz w:val="20"/>
                <w:szCs w:val="20"/>
              </w:rPr>
            </w:pPr>
          </w:p>
        </w:tc>
        <w:tc>
          <w:tcPr>
            <w:tcW w:w="3060" w:type="dxa"/>
            <w:tcBorders>
              <w:top w:val="single" w:sz="4" w:space="0" w:color="auto"/>
              <w:bottom w:val="single" w:sz="4" w:space="0" w:color="auto"/>
            </w:tcBorders>
            <w:noWrap/>
            <w:vAlign w:val="center"/>
          </w:tcPr>
          <w:p w14:paraId="404AC98C" w14:textId="77777777" w:rsidR="00D84885" w:rsidRPr="00613F87" w:rsidRDefault="00D84885" w:rsidP="00D84885">
            <w:pPr>
              <w:pStyle w:val="NoSpacing"/>
              <w:rPr>
                <w:color w:val="FF0000"/>
                <w:sz w:val="20"/>
                <w:szCs w:val="20"/>
              </w:rPr>
            </w:pPr>
          </w:p>
        </w:tc>
      </w:tr>
      <w:tr w:rsidR="00B8562B" w:rsidRPr="00613F87" w14:paraId="662DA65B" w14:textId="77777777" w:rsidTr="00D068C4">
        <w:trPr>
          <w:trHeight w:val="255"/>
        </w:trPr>
        <w:tc>
          <w:tcPr>
            <w:tcW w:w="1628" w:type="dxa"/>
            <w:vMerge w:val="restart"/>
            <w:tcBorders>
              <w:top w:val="single" w:sz="4" w:space="0" w:color="auto"/>
              <w:left w:val="single" w:sz="4" w:space="0" w:color="auto"/>
              <w:right w:val="single" w:sz="4" w:space="0" w:color="auto"/>
            </w:tcBorders>
            <w:vAlign w:val="center"/>
          </w:tcPr>
          <w:p w14:paraId="21E11664" w14:textId="77777777" w:rsidR="00B8562B" w:rsidRPr="00B8562B" w:rsidRDefault="00B8562B" w:rsidP="00D84885">
            <w:pPr>
              <w:pStyle w:val="NoSpacing"/>
              <w:rPr>
                <w:b/>
                <w:color w:val="FF0000"/>
                <w:sz w:val="20"/>
                <w:szCs w:val="20"/>
              </w:rPr>
            </w:pPr>
            <w:r w:rsidRPr="00B8562B">
              <w:rPr>
                <w:b/>
                <w:sz w:val="20"/>
                <w:szCs w:val="20"/>
              </w:rPr>
              <w:t>Infrastructure Upgrades</w:t>
            </w:r>
          </w:p>
        </w:tc>
        <w:tc>
          <w:tcPr>
            <w:tcW w:w="5047" w:type="dxa"/>
            <w:tcBorders>
              <w:top w:val="single" w:sz="4" w:space="0" w:color="auto"/>
              <w:left w:val="single" w:sz="4" w:space="0" w:color="auto"/>
              <w:bottom w:val="single" w:sz="4" w:space="0" w:color="auto"/>
              <w:right w:val="single" w:sz="4" w:space="0" w:color="auto"/>
            </w:tcBorders>
            <w:noWrap/>
            <w:vAlign w:val="center"/>
          </w:tcPr>
          <w:p w14:paraId="5324BF1D" w14:textId="77777777" w:rsidR="00B8562B" w:rsidRPr="00B8562B" w:rsidRDefault="00B8562B" w:rsidP="00D84885">
            <w:pPr>
              <w:pStyle w:val="NoSpacing"/>
              <w:rPr>
                <w:sz w:val="20"/>
                <w:szCs w:val="20"/>
              </w:rPr>
            </w:pPr>
            <w:r w:rsidRPr="00B8562B">
              <w:rPr>
                <w:sz w:val="20"/>
                <w:szCs w:val="20"/>
              </w:rPr>
              <w:t>HHW Equipment</w:t>
            </w:r>
          </w:p>
        </w:tc>
        <w:tc>
          <w:tcPr>
            <w:tcW w:w="3060" w:type="dxa"/>
            <w:tcBorders>
              <w:top w:val="single" w:sz="4" w:space="0" w:color="auto"/>
              <w:left w:val="single" w:sz="4" w:space="0" w:color="auto"/>
              <w:bottom w:val="single" w:sz="4" w:space="0" w:color="auto"/>
              <w:right w:val="single" w:sz="4" w:space="0" w:color="auto"/>
            </w:tcBorders>
            <w:noWrap/>
            <w:vAlign w:val="center"/>
          </w:tcPr>
          <w:p w14:paraId="43C48BA2" w14:textId="77777777" w:rsidR="00B8562B" w:rsidRPr="00B8562B" w:rsidRDefault="00B8562B" w:rsidP="00D84885">
            <w:pPr>
              <w:pStyle w:val="NoSpacing"/>
              <w:rPr>
                <w:sz w:val="20"/>
                <w:szCs w:val="20"/>
              </w:rPr>
            </w:pPr>
            <w:r w:rsidRPr="00B8562B">
              <w:rPr>
                <w:sz w:val="20"/>
                <w:szCs w:val="20"/>
              </w:rPr>
              <w:t>Purchase &amp; install</w:t>
            </w:r>
          </w:p>
        </w:tc>
      </w:tr>
      <w:tr w:rsidR="00B8562B" w:rsidRPr="00613F87" w14:paraId="1B5ED36E" w14:textId="77777777" w:rsidTr="00D068C4">
        <w:trPr>
          <w:trHeight w:val="255"/>
        </w:trPr>
        <w:tc>
          <w:tcPr>
            <w:tcW w:w="1628" w:type="dxa"/>
            <w:vMerge/>
            <w:tcBorders>
              <w:left w:val="single" w:sz="4" w:space="0" w:color="auto"/>
              <w:right w:val="single" w:sz="4" w:space="0" w:color="auto"/>
            </w:tcBorders>
            <w:vAlign w:val="center"/>
          </w:tcPr>
          <w:p w14:paraId="0053EF78" w14:textId="77777777" w:rsidR="00B8562B" w:rsidRPr="00613F87" w:rsidRDefault="00B8562B" w:rsidP="00D84885">
            <w:pPr>
              <w:pStyle w:val="NoSpacing"/>
              <w:rPr>
                <w:color w:val="FF0000"/>
                <w:sz w:val="20"/>
                <w:szCs w:val="20"/>
              </w:rPr>
            </w:pPr>
          </w:p>
        </w:tc>
        <w:tc>
          <w:tcPr>
            <w:tcW w:w="5047" w:type="dxa"/>
            <w:tcBorders>
              <w:top w:val="single" w:sz="4" w:space="0" w:color="auto"/>
              <w:left w:val="single" w:sz="4" w:space="0" w:color="auto"/>
              <w:bottom w:val="single" w:sz="4" w:space="0" w:color="auto"/>
              <w:right w:val="single" w:sz="4" w:space="0" w:color="auto"/>
            </w:tcBorders>
            <w:noWrap/>
            <w:vAlign w:val="center"/>
          </w:tcPr>
          <w:p w14:paraId="2F166C1E" w14:textId="77777777" w:rsidR="00B8562B" w:rsidRPr="00B8562B" w:rsidRDefault="00B8562B" w:rsidP="00D84885">
            <w:pPr>
              <w:pStyle w:val="NoSpacing"/>
              <w:rPr>
                <w:sz w:val="20"/>
                <w:szCs w:val="20"/>
              </w:rPr>
            </w:pPr>
            <w:r w:rsidRPr="00B8562B">
              <w:rPr>
                <w:sz w:val="20"/>
                <w:szCs w:val="20"/>
              </w:rPr>
              <w:t>HHW Related Signage</w:t>
            </w:r>
          </w:p>
        </w:tc>
        <w:tc>
          <w:tcPr>
            <w:tcW w:w="3060" w:type="dxa"/>
            <w:tcBorders>
              <w:top w:val="single" w:sz="4" w:space="0" w:color="auto"/>
              <w:left w:val="single" w:sz="4" w:space="0" w:color="auto"/>
              <w:bottom w:val="single" w:sz="4" w:space="0" w:color="auto"/>
              <w:right w:val="single" w:sz="4" w:space="0" w:color="auto"/>
            </w:tcBorders>
            <w:noWrap/>
            <w:vAlign w:val="center"/>
          </w:tcPr>
          <w:p w14:paraId="0A3E841C" w14:textId="77777777" w:rsidR="00B8562B" w:rsidRPr="00B8562B" w:rsidRDefault="00B8562B" w:rsidP="00D84885">
            <w:pPr>
              <w:pStyle w:val="NoSpacing"/>
              <w:rPr>
                <w:sz w:val="20"/>
                <w:szCs w:val="20"/>
              </w:rPr>
            </w:pPr>
            <w:r w:rsidRPr="00B8562B">
              <w:rPr>
                <w:sz w:val="20"/>
                <w:szCs w:val="20"/>
              </w:rPr>
              <w:t>Purchase &amp; install</w:t>
            </w:r>
          </w:p>
        </w:tc>
      </w:tr>
      <w:tr w:rsidR="00B8562B" w:rsidRPr="00613F87" w14:paraId="13EFF599" w14:textId="77777777" w:rsidTr="00D068C4">
        <w:trPr>
          <w:trHeight w:val="255"/>
        </w:trPr>
        <w:tc>
          <w:tcPr>
            <w:tcW w:w="1628" w:type="dxa"/>
            <w:vMerge/>
            <w:tcBorders>
              <w:left w:val="single" w:sz="4" w:space="0" w:color="auto"/>
              <w:right w:val="single" w:sz="4" w:space="0" w:color="auto"/>
            </w:tcBorders>
            <w:vAlign w:val="center"/>
          </w:tcPr>
          <w:p w14:paraId="1FE1F1B6" w14:textId="77777777" w:rsidR="00B8562B" w:rsidRPr="00613F87" w:rsidRDefault="00B8562B" w:rsidP="00D84885">
            <w:pPr>
              <w:pStyle w:val="NoSpacing"/>
              <w:rPr>
                <w:color w:val="FF0000"/>
                <w:sz w:val="20"/>
                <w:szCs w:val="20"/>
              </w:rPr>
            </w:pPr>
          </w:p>
        </w:tc>
        <w:tc>
          <w:tcPr>
            <w:tcW w:w="5047" w:type="dxa"/>
            <w:tcBorders>
              <w:top w:val="single" w:sz="4" w:space="0" w:color="auto"/>
              <w:left w:val="single" w:sz="4" w:space="0" w:color="auto"/>
              <w:bottom w:val="single" w:sz="4" w:space="0" w:color="auto"/>
              <w:right w:val="single" w:sz="4" w:space="0" w:color="auto"/>
            </w:tcBorders>
            <w:noWrap/>
            <w:vAlign w:val="center"/>
          </w:tcPr>
          <w:p w14:paraId="3A02A949" w14:textId="77777777" w:rsidR="00B8562B" w:rsidRPr="00B8562B" w:rsidRDefault="00B8562B" w:rsidP="00D84885">
            <w:pPr>
              <w:pStyle w:val="NoSpacing"/>
              <w:rPr>
                <w:sz w:val="20"/>
                <w:szCs w:val="20"/>
              </w:rPr>
            </w:pPr>
            <w:r w:rsidRPr="00B8562B">
              <w:rPr>
                <w:sz w:val="20"/>
                <w:szCs w:val="20"/>
              </w:rPr>
              <w:t>Construction of New HHW Facility</w:t>
            </w:r>
          </w:p>
        </w:tc>
        <w:tc>
          <w:tcPr>
            <w:tcW w:w="3060" w:type="dxa"/>
            <w:tcBorders>
              <w:top w:val="single" w:sz="4" w:space="0" w:color="auto"/>
              <w:left w:val="single" w:sz="4" w:space="0" w:color="auto"/>
              <w:bottom w:val="single" w:sz="4" w:space="0" w:color="auto"/>
              <w:right w:val="single" w:sz="4" w:space="0" w:color="auto"/>
            </w:tcBorders>
            <w:noWrap/>
            <w:vAlign w:val="center"/>
          </w:tcPr>
          <w:p w14:paraId="13252B04" w14:textId="77777777" w:rsidR="00B8562B" w:rsidRPr="00B8562B" w:rsidRDefault="00B8562B" w:rsidP="00D84885">
            <w:pPr>
              <w:pStyle w:val="NoSpacing"/>
              <w:rPr>
                <w:sz w:val="20"/>
                <w:szCs w:val="20"/>
              </w:rPr>
            </w:pPr>
            <w:r w:rsidRPr="00B8562B">
              <w:rPr>
                <w:sz w:val="20"/>
                <w:szCs w:val="20"/>
              </w:rPr>
              <w:t>Purchase &amp; install</w:t>
            </w:r>
          </w:p>
        </w:tc>
      </w:tr>
      <w:tr w:rsidR="009766B2" w:rsidRPr="00613F87" w14:paraId="70CD318D" w14:textId="77777777" w:rsidTr="00B8562B">
        <w:trPr>
          <w:trHeight w:val="255"/>
        </w:trPr>
        <w:tc>
          <w:tcPr>
            <w:tcW w:w="9735" w:type="dxa"/>
            <w:gridSpan w:val="3"/>
            <w:tcBorders>
              <w:top w:val="single" w:sz="4" w:space="0" w:color="auto"/>
              <w:left w:val="nil"/>
              <w:bottom w:val="nil"/>
              <w:right w:val="nil"/>
            </w:tcBorders>
            <w:vAlign w:val="center"/>
          </w:tcPr>
          <w:p w14:paraId="77ADAA72" w14:textId="77777777" w:rsidR="00B8562B" w:rsidRDefault="00B8562B" w:rsidP="00D84885">
            <w:pPr>
              <w:pStyle w:val="NoSpacing"/>
              <w:rPr>
                <w:b/>
                <w:color w:val="FF0000"/>
                <w:sz w:val="20"/>
                <w:szCs w:val="20"/>
              </w:rPr>
            </w:pPr>
          </w:p>
          <w:p w14:paraId="5C70DCA3" w14:textId="77777777" w:rsidR="00D84885" w:rsidRPr="00613F87" w:rsidRDefault="00D84885" w:rsidP="00D84885">
            <w:pPr>
              <w:pStyle w:val="NoSpacing"/>
              <w:rPr>
                <w:color w:val="FF0000"/>
                <w:sz w:val="20"/>
                <w:szCs w:val="20"/>
              </w:rPr>
            </w:pPr>
            <w:r w:rsidRPr="00B8562B">
              <w:rPr>
                <w:b/>
                <w:sz w:val="20"/>
                <w:szCs w:val="20"/>
              </w:rPr>
              <w:t xml:space="preserve">PLEASE NOTE: </w:t>
            </w:r>
            <w:r w:rsidRPr="00B8562B">
              <w:rPr>
                <w:bCs/>
                <w:sz w:val="20"/>
                <w:szCs w:val="20"/>
              </w:rPr>
              <w:t>Staff time</w:t>
            </w:r>
            <w:r w:rsidRPr="00B8562B">
              <w:rPr>
                <w:sz w:val="20"/>
                <w:szCs w:val="20"/>
              </w:rPr>
              <w:t xml:space="preserve"> may be in-house or contracted staff; includes all salaries and overheads.</w:t>
            </w:r>
          </w:p>
        </w:tc>
      </w:tr>
    </w:tbl>
    <w:p w14:paraId="0AF2F459" w14:textId="77777777" w:rsidR="00D84885" w:rsidRPr="00613F87" w:rsidRDefault="00D84885" w:rsidP="00D84885">
      <w:pPr>
        <w:rPr>
          <w:color w:val="FF0000"/>
        </w:rPr>
      </w:pPr>
    </w:p>
    <w:p w14:paraId="3A163301" w14:textId="77777777" w:rsidR="006C6B87" w:rsidRDefault="006C6B87" w:rsidP="006C6B87">
      <w:pPr>
        <w:pStyle w:val="Heading1"/>
        <w:numPr>
          <w:ilvl w:val="0"/>
          <w:numId w:val="0"/>
        </w:numPr>
        <w:ind w:left="567" w:hanging="567"/>
      </w:pPr>
      <w:r>
        <w:t>Appendix 2: List of the types of Household Hazardous Waste materials that are covered under the HHW Program</w:t>
      </w:r>
    </w:p>
    <w:p w14:paraId="00AF90A6" w14:textId="77777777" w:rsidR="00D84885" w:rsidRPr="00AD13F3" w:rsidRDefault="00D84885" w:rsidP="00D84885">
      <w:pPr>
        <w:tabs>
          <w:tab w:val="left" w:pos="1560"/>
        </w:tabs>
        <w:ind w:left="1560" w:hanging="1560"/>
        <w:rPr>
          <w:b/>
        </w:rPr>
      </w:pPr>
    </w:p>
    <w:p w14:paraId="6A4CD744" w14:textId="77777777" w:rsidR="00D84885" w:rsidRPr="00AD13F3" w:rsidRDefault="00D84885" w:rsidP="00D84885">
      <w:r w:rsidRPr="00AD13F3">
        <w:t xml:space="preserve">The HHW Program will fund the pickup, transport and recycling/disposal of the following materials from the nominated and </w:t>
      </w:r>
      <w:r w:rsidR="00AD13F3">
        <w:t>agreed P</w:t>
      </w:r>
      <w:r w:rsidRPr="00AD13F3">
        <w:t>ermanent HHW facilities.</w:t>
      </w:r>
    </w:p>
    <w:p w14:paraId="20EB36EE" w14:textId="77777777" w:rsidR="000606A5" w:rsidRPr="005A1512" w:rsidRDefault="00D84885" w:rsidP="000606A5">
      <w:pPr>
        <w:tabs>
          <w:tab w:val="left" w:pos="0"/>
        </w:tabs>
      </w:pPr>
      <w:r w:rsidRPr="005A1512">
        <w:t xml:space="preserve">HHW materials accepted at the permanent HHW facilities </w:t>
      </w:r>
      <w:r w:rsidRPr="005A1512">
        <w:rPr>
          <w:b/>
        </w:rPr>
        <w:t>must be from households</w:t>
      </w:r>
      <w:r w:rsidR="000606A5" w:rsidRPr="005A1512">
        <w:rPr>
          <w:b/>
        </w:rPr>
        <w:t xml:space="preserve"> only</w:t>
      </w:r>
      <w:r w:rsidR="005A1512" w:rsidRPr="005A1512">
        <w:t xml:space="preserve"> and will be restricted to a limit of 20kg or 20 Litres per material type</w:t>
      </w:r>
      <w:r w:rsidR="000606A5" w:rsidRPr="005A1512">
        <w:t>.</w:t>
      </w:r>
    </w:p>
    <w:p w14:paraId="7AA704A0" w14:textId="77777777" w:rsidR="000606A5" w:rsidRPr="000606A5" w:rsidRDefault="005A1512" w:rsidP="000606A5">
      <w:pPr>
        <w:pStyle w:val="NoSpacing"/>
        <w:rPr>
          <w:b/>
        </w:rPr>
      </w:pPr>
      <w:r>
        <w:rPr>
          <w:b/>
        </w:rPr>
        <w:t xml:space="preserve">Materials from the following </w:t>
      </w:r>
      <w:r w:rsidR="000606A5" w:rsidRPr="000606A5">
        <w:rPr>
          <w:b/>
        </w:rPr>
        <w:t>MUST NOT be accepted:</w:t>
      </w:r>
    </w:p>
    <w:p w14:paraId="746968DB" w14:textId="77777777" w:rsidR="000606A5" w:rsidRPr="000606A5" w:rsidRDefault="000606A5" w:rsidP="000606A5">
      <w:pPr>
        <w:pStyle w:val="ListParagraph"/>
        <w:numPr>
          <w:ilvl w:val="0"/>
          <w:numId w:val="13"/>
        </w:numPr>
        <w:tabs>
          <w:tab w:val="left" w:pos="0"/>
        </w:tabs>
        <w:rPr>
          <w:b/>
        </w:rPr>
      </w:pPr>
      <w:r>
        <w:t>C</w:t>
      </w:r>
      <w:r w:rsidR="00D84885" w:rsidRPr="00AD13F3">
        <w:t>ommerci</w:t>
      </w:r>
      <w:r w:rsidR="0048699E">
        <w:t>al</w:t>
      </w:r>
      <w:r w:rsidR="005A1512">
        <w:t>, business or industrial materials</w:t>
      </w:r>
      <w:r w:rsidR="0048699E">
        <w:t xml:space="preserve"> (</w:t>
      </w:r>
      <w:r>
        <w:t xml:space="preserve">for example fluoros from businesses, paint from painters or materials from </w:t>
      </w:r>
      <w:r w:rsidR="0048699E">
        <w:t>home businesses</w:t>
      </w:r>
      <w:r w:rsidR="005A1512">
        <w:t>, forklift gas bottles, chemicals from laboratories, specialised equipment/chemicals that wouldn’t be used in homes</w:t>
      </w:r>
      <w:r w:rsidR="0048699E">
        <w:t>)</w:t>
      </w:r>
    </w:p>
    <w:p w14:paraId="0AE887C8" w14:textId="77777777" w:rsidR="000606A5" w:rsidRPr="000606A5" w:rsidRDefault="000606A5" w:rsidP="000606A5">
      <w:pPr>
        <w:pStyle w:val="ListParagraph"/>
        <w:numPr>
          <w:ilvl w:val="0"/>
          <w:numId w:val="13"/>
        </w:numPr>
        <w:tabs>
          <w:tab w:val="left" w:pos="0"/>
        </w:tabs>
        <w:rPr>
          <w:b/>
        </w:rPr>
      </w:pPr>
      <w:r>
        <w:t>A</w:t>
      </w:r>
      <w:r w:rsidR="0048699E">
        <w:t xml:space="preserve">gricultural </w:t>
      </w:r>
      <w:r>
        <w:t xml:space="preserve">sources </w:t>
      </w:r>
      <w:r w:rsidR="0048699E">
        <w:t>(</w:t>
      </w:r>
      <w:r>
        <w:t>for example</w:t>
      </w:r>
      <w:r w:rsidR="0048699E">
        <w:t xml:space="preserve"> farm chemicals) </w:t>
      </w:r>
    </w:p>
    <w:p w14:paraId="15ADBEA1" w14:textId="77777777" w:rsidR="000606A5" w:rsidRPr="000606A5" w:rsidRDefault="000606A5" w:rsidP="000606A5">
      <w:pPr>
        <w:pStyle w:val="ListParagraph"/>
        <w:numPr>
          <w:ilvl w:val="0"/>
          <w:numId w:val="13"/>
        </w:numPr>
        <w:tabs>
          <w:tab w:val="left" w:pos="0"/>
        </w:tabs>
        <w:rPr>
          <w:b/>
        </w:rPr>
      </w:pPr>
      <w:r>
        <w:t>V</w:t>
      </w:r>
      <w:r w:rsidR="00D84885" w:rsidRPr="00AD13F3">
        <w:t>eterinary sources</w:t>
      </w:r>
    </w:p>
    <w:p w14:paraId="4576D817" w14:textId="77777777" w:rsidR="000606A5" w:rsidRPr="005A1512" w:rsidRDefault="005A1512" w:rsidP="000606A5">
      <w:pPr>
        <w:pStyle w:val="ListParagraph"/>
        <w:numPr>
          <w:ilvl w:val="0"/>
          <w:numId w:val="13"/>
        </w:numPr>
        <w:tabs>
          <w:tab w:val="left" w:pos="0"/>
        </w:tabs>
        <w:rPr>
          <w:b/>
        </w:rPr>
      </w:pPr>
      <w:r>
        <w:t>A</w:t>
      </w:r>
      <w:r w:rsidR="0048699E">
        <w:t>ny materials from your own organisation (i.e. chemicals from your Parks and Gardens department</w:t>
      </w:r>
      <w:r w:rsidR="00DE31F6">
        <w:t>, or your own operations</w:t>
      </w:r>
      <w:r>
        <w:t>)</w:t>
      </w:r>
    </w:p>
    <w:p w14:paraId="7B4CCDA2" w14:textId="77777777" w:rsidR="005A1512" w:rsidRPr="000606A5" w:rsidRDefault="005A1512" w:rsidP="000606A5">
      <w:pPr>
        <w:pStyle w:val="ListParagraph"/>
        <w:numPr>
          <w:ilvl w:val="0"/>
          <w:numId w:val="13"/>
        </w:numPr>
        <w:tabs>
          <w:tab w:val="left" w:pos="0"/>
        </w:tabs>
        <w:rPr>
          <w:b/>
        </w:rPr>
      </w:pPr>
      <w:r>
        <w:t>Any other materials that woul</w:t>
      </w:r>
      <w:r w:rsidR="00E55149">
        <w:t>d not be used within households</w:t>
      </w:r>
    </w:p>
    <w:p w14:paraId="4C79B38A" w14:textId="77777777" w:rsidR="005A1512" w:rsidRPr="005A1512" w:rsidRDefault="005A1512" w:rsidP="000606A5">
      <w:pPr>
        <w:pStyle w:val="ListParagraph"/>
        <w:numPr>
          <w:ilvl w:val="0"/>
          <w:numId w:val="13"/>
        </w:numPr>
        <w:tabs>
          <w:tab w:val="left" w:pos="0"/>
        </w:tabs>
      </w:pPr>
      <w:r>
        <w:t>Or any m</w:t>
      </w:r>
      <w:r w:rsidRPr="005A1512">
        <w:t>aterials that are more than 20kg or 20 Litres per material type</w:t>
      </w:r>
      <w:r>
        <w:t>.</w:t>
      </w:r>
    </w:p>
    <w:p w14:paraId="73E9A05A" w14:textId="77777777" w:rsidR="00F74DC4" w:rsidRDefault="00D916B2" w:rsidP="005A1512">
      <w:pPr>
        <w:tabs>
          <w:tab w:val="left" w:pos="0"/>
        </w:tabs>
        <w:ind w:left="360"/>
      </w:pPr>
      <w:r>
        <w:t xml:space="preserve">HHW funding must be allocated in the first instance to the collection and disposal of Priority 1 </w:t>
      </w:r>
      <w:r w:rsidRPr="008F7A5C">
        <w:t>materials.</w:t>
      </w:r>
      <w:r w:rsidR="00294973" w:rsidRPr="008F7A5C">
        <w:t xml:space="preserve"> </w:t>
      </w:r>
      <w:r w:rsidR="008F7A5C" w:rsidRPr="008F7A5C">
        <w:t xml:space="preserve">If the Waste Authority determines that a suitable alternative collection mechanism </w:t>
      </w:r>
      <w:r w:rsidR="008F7A5C" w:rsidRPr="008F7A5C">
        <w:lastRenderedPageBreak/>
        <w:t>(such as product stewardship) is available for a material in the area where HHW services are provided, the material is out of scope for that region.</w:t>
      </w:r>
      <w:r w:rsidR="00F74DC4">
        <w:t xml:space="preserve"> </w:t>
      </w:r>
    </w:p>
    <w:p w14:paraId="3F5A9A29" w14:textId="77777777" w:rsidR="00030147" w:rsidRDefault="00030147" w:rsidP="00D916B2"/>
    <w:p w14:paraId="37A83495" w14:textId="77777777" w:rsidR="00361F65" w:rsidRDefault="00361F65" w:rsidP="00D916B2"/>
    <w:p w14:paraId="4AF610EB" w14:textId="77777777" w:rsidR="00361F65" w:rsidRDefault="00361F65" w:rsidP="00D916B2"/>
    <w:p w14:paraId="5CF3EA93" w14:textId="77777777" w:rsidR="00361F65" w:rsidRDefault="00361F65" w:rsidP="00D916B2"/>
    <w:p w14:paraId="147AF620" w14:textId="77777777" w:rsidR="00361F65" w:rsidRDefault="00361F65" w:rsidP="00D916B2"/>
    <w:p w14:paraId="4C40F29B" w14:textId="77777777" w:rsidR="00361F65" w:rsidRDefault="00361F65" w:rsidP="00D916B2"/>
    <w:p w14:paraId="72A7FAFF" w14:textId="77777777" w:rsidR="00361F65" w:rsidRPr="00AD13F3" w:rsidRDefault="00361F65" w:rsidP="00D916B2"/>
    <w:tbl>
      <w:tblPr>
        <w:tblW w:w="637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tblGrid>
      <w:tr w:rsidR="007137AB" w:rsidRPr="007137AB" w14:paraId="4C78385F" w14:textId="77777777" w:rsidTr="005638B0">
        <w:trPr>
          <w:trHeight w:val="491"/>
        </w:trPr>
        <w:tc>
          <w:tcPr>
            <w:tcW w:w="6379" w:type="dxa"/>
            <w:vMerge w:val="restart"/>
            <w:shd w:val="clear" w:color="auto" w:fill="BFBFBF" w:themeFill="background1" w:themeFillShade="BF"/>
            <w:vAlign w:val="center"/>
          </w:tcPr>
          <w:p w14:paraId="11D8FD40" w14:textId="77777777" w:rsidR="00D84885" w:rsidRPr="007137AB" w:rsidRDefault="00D84885" w:rsidP="000554BC">
            <w:pPr>
              <w:pStyle w:val="NoSpacing"/>
              <w:rPr>
                <w:b/>
                <w:color w:val="FF0000"/>
              </w:rPr>
            </w:pPr>
            <w:r w:rsidRPr="00D916B2">
              <w:rPr>
                <w:b/>
                <w:sz w:val="24"/>
              </w:rPr>
              <w:t>HHW Materials accepted through the HHW Program</w:t>
            </w:r>
          </w:p>
        </w:tc>
      </w:tr>
      <w:tr w:rsidR="007137AB" w:rsidRPr="007137AB" w14:paraId="0D392123" w14:textId="77777777" w:rsidTr="005638B0">
        <w:trPr>
          <w:trHeight w:val="253"/>
        </w:trPr>
        <w:tc>
          <w:tcPr>
            <w:tcW w:w="6379" w:type="dxa"/>
            <w:vMerge/>
            <w:shd w:val="clear" w:color="auto" w:fill="BFBFBF" w:themeFill="background1" w:themeFillShade="BF"/>
            <w:vAlign w:val="center"/>
          </w:tcPr>
          <w:p w14:paraId="3B177039" w14:textId="77777777" w:rsidR="00D84885" w:rsidRPr="007137AB" w:rsidRDefault="00D84885" w:rsidP="000554BC">
            <w:pPr>
              <w:pStyle w:val="NoSpacing"/>
              <w:rPr>
                <w:color w:val="FF0000"/>
              </w:rPr>
            </w:pPr>
          </w:p>
        </w:tc>
      </w:tr>
      <w:tr w:rsidR="009F75B3" w:rsidRPr="007137AB" w14:paraId="4A7A886D" w14:textId="77777777" w:rsidTr="005638B0">
        <w:trPr>
          <w:trHeight w:val="300"/>
        </w:trPr>
        <w:tc>
          <w:tcPr>
            <w:tcW w:w="6379" w:type="dxa"/>
            <w:shd w:val="clear" w:color="auto" w:fill="D6E3BC" w:themeFill="accent3" w:themeFillTint="66"/>
            <w:vAlign w:val="center"/>
          </w:tcPr>
          <w:p w14:paraId="63B8FACD" w14:textId="77777777" w:rsidR="009F75B3" w:rsidRPr="007137AB" w:rsidRDefault="009F75B3" w:rsidP="00294973">
            <w:pPr>
              <w:pStyle w:val="NoSpacing"/>
              <w:rPr>
                <w:color w:val="FF0000"/>
              </w:rPr>
            </w:pPr>
            <w:r w:rsidRPr="00D916B2">
              <w:rPr>
                <w:b/>
              </w:rPr>
              <w:t xml:space="preserve">Priority 1 </w:t>
            </w:r>
            <w:r w:rsidRPr="00FA7042">
              <w:rPr>
                <w:b/>
              </w:rPr>
              <w:t>Materials</w:t>
            </w:r>
          </w:p>
        </w:tc>
      </w:tr>
      <w:tr w:rsidR="007137AB" w:rsidRPr="007137AB" w14:paraId="343FBEFD" w14:textId="77777777" w:rsidTr="000554BC">
        <w:trPr>
          <w:trHeight w:val="300"/>
        </w:trPr>
        <w:tc>
          <w:tcPr>
            <w:tcW w:w="6379" w:type="dxa"/>
            <w:vAlign w:val="center"/>
          </w:tcPr>
          <w:p w14:paraId="59D0A466" w14:textId="77777777" w:rsidR="00D84885" w:rsidRPr="00FA7042" w:rsidRDefault="00D84885" w:rsidP="000554BC">
            <w:pPr>
              <w:pStyle w:val="NoSpacing"/>
            </w:pPr>
            <w:r w:rsidRPr="00FA7042">
              <w:t>Acids (excludes hydrofluoric acid)</w:t>
            </w:r>
          </w:p>
        </w:tc>
      </w:tr>
      <w:tr w:rsidR="007137AB" w:rsidRPr="007137AB" w14:paraId="5971E3DD" w14:textId="77777777" w:rsidTr="000554BC">
        <w:trPr>
          <w:trHeight w:val="300"/>
        </w:trPr>
        <w:tc>
          <w:tcPr>
            <w:tcW w:w="6379" w:type="dxa"/>
            <w:vAlign w:val="center"/>
          </w:tcPr>
          <w:p w14:paraId="0C8EB2E6" w14:textId="77777777" w:rsidR="00D84885" w:rsidRPr="00FA7042" w:rsidRDefault="00D84885" w:rsidP="000554BC">
            <w:pPr>
              <w:pStyle w:val="NoSpacing"/>
            </w:pPr>
            <w:r w:rsidRPr="00FA7042">
              <w:t>Acids - hydrofluoric</w:t>
            </w:r>
          </w:p>
        </w:tc>
      </w:tr>
      <w:tr w:rsidR="007137AB" w:rsidRPr="007137AB" w14:paraId="7DE99E81" w14:textId="77777777" w:rsidTr="000554BC">
        <w:trPr>
          <w:trHeight w:val="300"/>
        </w:trPr>
        <w:tc>
          <w:tcPr>
            <w:tcW w:w="6379" w:type="dxa"/>
            <w:vAlign w:val="center"/>
          </w:tcPr>
          <w:p w14:paraId="013F8BFA" w14:textId="77777777" w:rsidR="00D84885" w:rsidRPr="00FA7042" w:rsidRDefault="00D84885" w:rsidP="000554BC">
            <w:pPr>
              <w:pStyle w:val="NoSpacing"/>
            </w:pPr>
            <w:r w:rsidRPr="00FA7042">
              <w:t>Aerosols - CFC based</w:t>
            </w:r>
          </w:p>
        </w:tc>
      </w:tr>
      <w:tr w:rsidR="007137AB" w:rsidRPr="007137AB" w14:paraId="786010D3" w14:textId="77777777" w:rsidTr="000554BC">
        <w:trPr>
          <w:trHeight w:val="300"/>
        </w:trPr>
        <w:tc>
          <w:tcPr>
            <w:tcW w:w="6379" w:type="dxa"/>
            <w:vAlign w:val="center"/>
          </w:tcPr>
          <w:p w14:paraId="0672ACE9" w14:textId="77777777" w:rsidR="00D84885" w:rsidRPr="00FA7042" w:rsidRDefault="00D84885" w:rsidP="000554BC">
            <w:pPr>
              <w:pStyle w:val="NoSpacing"/>
            </w:pPr>
            <w:r w:rsidRPr="00FA7042">
              <w:t>Aerosols, flammable - paints and lacquers</w:t>
            </w:r>
          </w:p>
        </w:tc>
      </w:tr>
      <w:tr w:rsidR="007137AB" w:rsidRPr="007137AB" w14:paraId="7A97A7EB" w14:textId="77777777" w:rsidTr="000554BC">
        <w:trPr>
          <w:trHeight w:val="300"/>
        </w:trPr>
        <w:tc>
          <w:tcPr>
            <w:tcW w:w="6379" w:type="dxa"/>
            <w:vAlign w:val="center"/>
          </w:tcPr>
          <w:p w14:paraId="187278F9" w14:textId="77777777" w:rsidR="00D84885" w:rsidRPr="00FA7042" w:rsidRDefault="00D84885" w:rsidP="000554BC">
            <w:pPr>
              <w:pStyle w:val="NoSpacing"/>
            </w:pPr>
            <w:r w:rsidRPr="00FA7042">
              <w:t>Aerosols, flammable - pesticide</w:t>
            </w:r>
          </w:p>
        </w:tc>
      </w:tr>
      <w:tr w:rsidR="007137AB" w:rsidRPr="007137AB" w14:paraId="73509D2E" w14:textId="77777777" w:rsidTr="000554BC">
        <w:trPr>
          <w:trHeight w:val="300"/>
        </w:trPr>
        <w:tc>
          <w:tcPr>
            <w:tcW w:w="6379" w:type="dxa"/>
            <w:vAlign w:val="center"/>
          </w:tcPr>
          <w:p w14:paraId="2711DCCE" w14:textId="77777777" w:rsidR="00D84885" w:rsidRPr="00FA7042" w:rsidRDefault="00D84885" w:rsidP="000554BC">
            <w:pPr>
              <w:pStyle w:val="NoSpacing"/>
            </w:pPr>
            <w:r w:rsidRPr="00FA7042">
              <w:t>Alkali</w:t>
            </w:r>
          </w:p>
        </w:tc>
      </w:tr>
      <w:tr w:rsidR="007137AB" w:rsidRPr="007137AB" w14:paraId="144B34CB" w14:textId="77777777" w:rsidTr="000554BC">
        <w:trPr>
          <w:trHeight w:val="300"/>
        </w:trPr>
        <w:tc>
          <w:tcPr>
            <w:tcW w:w="6379" w:type="dxa"/>
            <w:vAlign w:val="center"/>
          </w:tcPr>
          <w:p w14:paraId="76AADF73" w14:textId="77777777" w:rsidR="00D84885" w:rsidRPr="00FA7042" w:rsidRDefault="00D84885" w:rsidP="000554BC">
            <w:pPr>
              <w:pStyle w:val="NoSpacing"/>
            </w:pPr>
            <w:r w:rsidRPr="00FA7042">
              <w:t>Arsenic based products</w:t>
            </w:r>
          </w:p>
        </w:tc>
      </w:tr>
      <w:tr w:rsidR="007137AB" w:rsidRPr="007137AB" w14:paraId="2147EDB1" w14:textId="77777777" w:rsidTr="000554BC">
        <w:trPr>
          <w:trHeight w:val="300"/>
        </w:trPr>
        <w:tc>
          <w:tcPr>
            <w:tcW w:w="6379" w:type="dxa"/>
            <w:vAlign w:val="center"/>
          </w:tcPr>
          <w:p w14:paraId="24350685" w14:textId="77777777" w:rsidR="00D84885" w:rsidRPr="00FA7042" w:rsidRDefault="00D84885" w:rsidP="000554BC">
            <w:pPr>
              <w:pStyle w:val="NoSpacing"/>
            </w:pPr>
            <w:r w:rsidRPr="00FA7042">
              <w:t xml:space="preserve">Batteries </w:t>
            </w:r>
            <w:r w:rsidR="00FA7042" w:rsidRPr="00FA7042">
              <w:t>–</w:t>
            </w:r>
            <w:r w:rsidRPr="00FA7042">
              <w:t xml:space="preserve"> household</w:t>
            </w:r>
            <w:r w:rsidR="00FA7042" w:rsidRPr="00FA7042">
              <w:t xml:space="preserve"> handheld</w:t>
            </w:r>
          </w:p>
        </w:tc>
      </w:tr>
      <w:tr w:rsidR="007137AB" w:rsidRPr="007137AB" w14:paraId="5AD39CA2" w14:textId="77777777" w:rsidTr="000554BC">
        <w:trPr>
          <w:trHeight w:val="300"/>
        </w:trPr>
        <w:tc>
          <w:tcPr>
            <w:tcW w:w="6379" w:type="dxa"/>
            <w:vAlign w:val="center"/>
          </w:tcPr>
          <w:p w14:paraId="5F765CD1" w14:textId="77777777" w:rsidR="00D84885" w:rsidRPr="00FA7042" w:rsidRDefault="00D84885" w:rsidP="000554BC">
            <w:pPr>
              <w:pStyle w:val="NoSpacing"/>
            </w:pPr>
            <w:r w:rsidRPr="00FA7042">
              <w:t>Cyanides</w:t>
            </w:r>
          </w:p>
        </w:tc>
      </w:tr>
      <w:tr w:rsidR="007137AB" w:rsidRPr="007137AB" w14:paraId="6C1F4CA8" w14:textId="77777777" w:rsidTr="000554BC">
        <w:trPr>
          <w:trHeight w:val="300"/>
        </w:trPr>
        <w:tc>
          <w:tcPr>
            <w:tcW w:w="6379" w:type="dxa"/>
            <w:vAlign w:val="center"/>
          </w:tcPr>
          <w:p w14:paraId="032CE379" w14:textId="77777777" w:rsidR="00D84885" w:rsidRPr="00FA7042" w:rsidRDefault="00D84885" w:rsidP="000554BC">
            <w:pPr>
              <w:pStyle w:val="NoSpacing"/>
            </w:pPr>
            <w:r w:rsidRPr="00FA7042">
              <w:t>Engine coolants and glycols</w:t>
            </w:r>
          </w:p>
        </w:tc>
      </w:tr>
      <w:tr w:rsidR="007137AB" w:rsidRPr="007137AB" w14:paraId="5279D7B3" w14:textId="77777777" w:rsidTr="000554BC">
        <w:trPr>
          <w:trHeight w:val="300"/>
        </w:trPr>
        <w:tc>
          <w:tcPr>
            <w:tcW w:w="6379" w:type="dxa"/>
            <w:vAlign w:val="center"/>
          </w:tcPr>
          <w:p w14:paraId="07CCAF9D" w14:textId="77777777" w:rsidR="00D84885" w:rsidRPr="00FA7042" w:rsidRDefault="00D84885" w:rsidP="000554BC">
            <w:pPr>
              <w:pStyle w:val="NoSpacing"/>
            </w:pPr>
            <w:r w:rsidRPr="00FA7042">
              <w:t>Fire Extinguishers - non halon</w:t>
            </w:r>
          </w:p>
        </w:tc>
      </w:tr>
      <w:tr w:rsidR="007137AB" w:rsidRPr="007137AB" w14:paraId="7D55E0DB" w14:textId="77777777" w:rsidTr="000554BC">
        <w:trPr>
          <w:trHeight w:val="300"/>
        </w:trPr>
        <w:tc>
          <w:tcPr>
            <w:tcW w:w="6379" w:type="dxa"/>
            <w:vAlign w:val="center"/>
          </w:tcPr>
          <w:p w14:paraId="2754DAAD" w14:textId="77777777" w:rsidR="00D84885" w:rsidRPr="00FA7042" w:rsidRDefault="00D84885" w:rsidP="000554BC">
            <w:pPr>
              <w:pStyle w:val="NoSpacing"/>
            </w:pPr>
            <w:r w:rsidRPr="00FA7042">
              <w:t>Flammable liquids - hydrocarbons and fuels</w:t>
            </w:r>
          </w:p>
        </w:tc>
      </w:tr>
      <w:tr w:rsidR="007137AB" w:rsidRPr="007137AB" w14:paraId="36C735D5" w14:textId="77777777" w:rsidTr="000554BC">
        <w:trPr>
          <w:trHeight w:val="300"/>
        </w:trPr>
        <w:tc>
          <w:tcPr>
            <w:tcW w:w="6379" w:type="dxa"/>
            <w:vAlign w:val="center"/>
          </w:tcPr>
          <w:p w14:paraId="62A032BC" w14:textId="77777777" w:rsidR="00D84885" w:rsidRPr="007137AB" w:rsidRDefault="00D84885" w:rsidP="000554BC">
            <w:pPr>
              <w:pStyle w:val="NoSpacing"/>
              <w:rPr>
                <w:color w:val="FF0000"/>
              </w:rPr>
            </w:pPr>
            <w:r w:rsidRPr="00FA7042">
              <w:t>Flammable solids</w:t>
            </w:r>
          </w:p>
        </w:tc>
      </w:tr>
      <w:tr w:rsidR="007137AB" w:rsidRPr="007137AB" w14:paraId="3CC79F0C" w14:textId="77777777" w:rsidTr="000554BC">
        <w:trPr>
          <w:trHeight w:val="300"/>
        </w:trPr>
        <w:tc>
          <w:tcPr>
            <w:tcW w:w="6379" w:type="dxa"/>
            <w:vAlign w:val="center"/>
          </w:tcPr>
          <w:p w14:paraId="1368F690" w14:textId="77777777" w:rsidR="00D84885" w:rsidRPr="00FA7042" w:rsidRDefault="00D84885" w:rsidP="000554BC">
            <w:pPr>
              <w:pStyle w:val="NoSpacing"/>
            </w:pPr>
            <w:r w:rsidRPr="00FA7042">
              <w:t>Flares</w:t>
            </w:r>
          </w:p>
        </w:tc>
      </w:tr>
      <w:tr w:rsidR="007137AB" w:rsidRPr="007137AB" w14:paraId="52F0A051" w14:textId="77777777" w:rsidTr="000554BC">
        <w:trPr>
          <w:trHeight w:val="300"/>
        </w:trPr>
        <w:tc>
          <w:tcPr>
            <w:tcW w:w="6379" w:type="dxa"/>
            <w:vAlign w:val="center"/>
          </w:tcPr>
          <w:p w14:paraId="512D53B1" w14:textId="77777777" w:rsidR="00D84885" w:rsidRPr="00FA7042" w:rsidRDefault="00D84885" w:rsidP="000554BC">
            <w:pPr>
              <w:pStyle w:val="NoSpacing"/>
            </w:pPr>
            <w:r w:rsidRPr="00FA7042">
              <w:t>Gas cylinders - other</w:t>
            </w:r>
          </w:p>
        </w:tc>
      </w:tr>
      <w:tr w:rsidR="007137AB" w:rsidRPr="007137AB" w14:paraId="4CBB3767" w14:textId="77777777" w:rsidTr="000554BC">
        <w:trPr>
          <w:trHeight w:val="300"/>
        </w:trPr>
        <w:tc>
          <w:tcPr>
            <w:tcW w:w="6379" w:type="dxa"/>
            <w:vAlign w:val="center"/>
          </w:tcPr>
          <w:p w14:paraId="7443164B" w14:textId="77777777" w:rsidR="00D84885" w:rsidRPr="00FA7042" w:rsidRDefault="00D84885" w:rsidP="000554BC">
            <w:pPr>
              <w:pStyle w:val="NoSpacing"/>
            </w:pPr>
            <w:r w:rsidRPr="00FA7042">
              <w:t>Gas cylinders - propane</w:t>
            </w:r>
          </w:p>
        </w:tc>
      </w:tr>
      <w:tr w:rsidR="007137AB" w:rsidRPr="007137AB" w14:paraId="26AFAAF2" w14:textId="77777777" w:rsidTr="000554BC">
        <w:trPr>
          <w:trHeight w:val="300"/>
        </w:trPr>
        <w:tc>
          <w:tcPr>
            <w:tcW w:w="6379" w:type="dxa"/>
            <w:vAlign w:val="center"/>
          </w:tcPr>
          <w:p w14:paraId="45494382" w14:textId="77777777" w:rsidR="00D84885" w:rsidRPr="00FA7042" w:rsidRDefault="00D84885" w:rsidP="000554BC">
            <w:pPr>
              <w:pStyle w:val="NoSpacing"/>
            </w:pPr>
            <w:r w:rsidRPr="00FA7042">
              <w:t>General household chemicals e.g. cleaners</w:t>
            </w:r>
          </w:p>
        </w:tc>
      </w:tr>
      <w:tr w:rsidR="007137AB" w:rsidRPr="007137AB" w14:paraId="2759FEDD" w14:textId="77777777" w:rsidTr="000554BC">
        <w:trPr>
          <w:trHeight w:val="300"/>
        </w:trPr>
        <w:tc>
          <w:tcPr>
            <w:tcW w:w="6379" w:type="dxa"/>
            <w:vAlign w:val="center"/>
          </w:tcPr>
          <w:p w14:paraId="3C3DBBCA" w14:textId="77777777" w:rsidR="00D84885" w:rsidRPr="00FA7042" w:rsidRDefault="00D84885" w:rsidP="000554BC">
            <w:pPr>
              <w:pStyle w:val="NoSpacing"/>
            </w:pPr>
            <w:r w:rsidRPr="00FA7042">
              <w:t>Heavy metal compounds</w:t>
            </w:r>
          </w:p>
        </w:tc>
      </w:tr>
      <w:tr w:rsidR="007137AB" w:rsidRPr="007137AB" w14:paraId="232E010B" w14:textId="77777777" w:rsidTr="000554BC">
        <w:trPr>
          <w:trHeight w:val="300"/>
        </w:trPr>
        <w:tc>
          <w:tcPr>
            <w:tcW w:w="6379" w:type="dxa"/>
            <w:vAlign w:val="center"/>
          </w:tcPr>
          <w:p w14:paraId="42932CE4" w14:textId="77777777" w:rsidR="00D84885" w:rsidRPr="007137AB" w:rsidRDefault="00D84885" w:rsidP="000554BC">
            <w:pPr>
              <w:pStyle w:val="NoSpacing"/>
              <w:rPr>
                <w:color w:val="FF0000"/>
              </w:rPr>
            </w:pPr>
            <w:r w:rsidRPr="00FA7042">
              <w:t>Inorganic oxidising agents e.g. pool chlorine</w:t>
            </w:r>
          </w:p>
        </w:tc>
      </w:tr>
      <w:tr w:rsidR="007137AB" w:rsidRPr="007137AB" w14:paraId="69666396" w14:textId="77777777" w:rsidTr="000554BC">
        <w:trPr>
          <w:trHeight w:val="300"/>
        </w:trPr>
        <w:tc>
          <w:tcPr>
            <w:tcW w:w="6379" w:type="dxa"/>
            <w:vAlign w:val="center"/>
          </w:tcPr>
          <w:p w14:paraId="36EAD126" w14:textId="77777777" w:rsidR="00D84885" w:rsidRPr="00FA7042" w:rsidRDefault="00D84885" w:rsidP="000554BC">
            <w:pPr>
              <w:pStyle w:val="NoSpacing"/>
            </w:pPr>
            <w:r w:rsidRPr="00FA7042">
              <w:t>Low level radioactive substances e.g. smoke detectors</w:t>
            </w:r>
          </w:p>
        </w:tc>
      </w:tr>
      <w:tr w:rsidR="007137AB" w:rsidRPr="007137AB" w14:paraId="6F2BDC25" w14:textId="77777777" w:rsidTr="000554BC">
        <w:trPr>
          <w:trHeight w:val="300"/>
        </w:trPr>
        <w:tc>
          <w:tcPr>
            <w:tcW w:w="6379" w:type="dxa"/>
            <w:vAlign w:val="center"/>
          </w:tcPr>
          <w:p w14:paraId="180767F5" w14:textId="77777777" w:rsidR="00D84885" w:rsidRPr="00FA7042" w:rsidRDefault="00D84885" w:rsidP="000554BC">
            <w:pPr>
              <w:pStyle w:val="NoSpacing"/>
            </w:pPr>
            <w:r w:rsidRPr="00FA7042">
              <w:t>Mercury - elemental</w:t>
            </w:r>
          </w:p>
        </w:tc>
      </w:tr>
      <w:tr w:rsidR="007137AB" w:rsidRPr="007137AB" w14:paraId="001AC9CC" w14:textId="77777777" w:rsidTr="000554BC">
        <w:trPr>
          <w:trHeight w:val="300"/>
        </w:trPr>
        <w:tc>
          <w:tcPr>
            <w:tcW w:w="6379" w:type="dxa"/>
            <w:vAlign w:val="center"/>
          </w:tcPr>
          <w:p w14:paraId="00A975DA" w14:textId="77777777" w:rsidR="00D84885" w:rsidRPr="00FA7042" w:rsidRDefault="00D84885" w:rsidP="000554BC">
            <w:pPr>
              <w:pStyle w:val="NoSpacing"/>
            </w:pPr>
            <w:r w:rsidRPr="00FA7042">
              <w:t>Organic peroxides</w:t>
            </w:r>
          </w:p>
        </w:tc>
      </w:tr>
      <w:tr w:rsidR="007137AB" w:rsidRPr="007137AB" w14:paraId="37136A59" w14:textId="77777777" w:rsidTr="000554BC">
        <w:trPr>
          <w:trHeight w:val="300"/>
        </w:trPr>
        <w:tc>
          <w:tcPr>
            <w:tcW w:w="6379" w:type="dxa"/>
            <w:vAlign w:val="center"/>
          </w:tcPr>
          <w:p w14:paraId="1EBC40EC" w14:textId="77777777" w:rsidR="00D84885" w:rsidRPr="007137AB" w:rsidRDefault="00D84885" w:rsidP="000554BC">
            <w:pPr>
              <w:pStyle w:val="NoSpacing"/>
              <w:rPr>
                <w:color w:val="FF0000"/>
              </w:rPr>
            </w:pPr>
            <w:r w:rsidRPr="00FA7042">
              <w:t>Paint - metal based</w:t>
            </w:r>
          </w:p>
        </w:tc>
      </w:tr>
      <w:tr w:rsidR="007137AB" w:rsidRPr="007137AB" w14:paraId="7E82274F" w14:textId="77777777" w:rsidTr="000554BC">
        <w:trPr>
          <w:trHeight w:val="300"/>
        </w:trPr>
        <w:tc>
          <w:tcPr>
            <w:tcW w:w="6379" w:type="dxa"/>
            <w:vAlign w:val="center"/>
          </w:tcPr>
          <w:p w14:paraId="7EE3A6C7" w14:textId="77777777" w:rsidR="00D84885" w:rsidRPr="007137AB" w:rsidRDefault="00D84885" w:rsidP="000554BC">
            <w:pPr>
              <w:pStyle w:val="NoSpacing"/>
              <w:rPr>
                <w:color w:val="FF0000"/>
              </w:rPr>
            </w:pPr>
            <w:r w:rsidRPr="00FA7042">
              <w:t>Paint - other including isocyanates and amines</w:t>
            </w:r>
          </w:p>
        </w:tc>
      </w:tr>
      <w:tr w:rsidR="007137AB" w:rsidRPr="007137AB" w14:paraId="28CC3775" w14:textId="77777777" w:rsidTr="000554BC">
        <w:trPr>
          <w:trHeight w:val="300"/>
        </w:trPr>
        <w:tc>
          <w:tcPr>
            <w:tcW w:w="6379" w:type="dxa"/>
            <w:vAlign w:val="center"/>
          </w:tcPr>
          <w:p w14:paraId="622B0E30" w14:textId="77777777" w:rsidR="00D84885" w:rsidRPr="007137AB" w:rsidRDefault="00D84885" w:rsidP="000554BC">
            <w:pPr>
              <w:pStyle w:val="NoSpacing"/>
              <w:rPr>
                <w:color w:val="FF0000"/>
              </w:rPr>
            </w:pPr>
            <w:r w:rsidRPr="00FA7042">
              <w:t>Paint - solvent based, including resins and adhesives</w:t>
            </w:r>
          </w:p>
        </w:tc>
      </w:tr>
      <w:tr w:rsidR="007137AB" w:rsidRPr="007137AB" w14:paraId="4B0F8842" w14:textId="77777777" w:rsidTr="000554BC">
        <w:trPr>
          <w:trHeight w:val="300"/>
        </w:trPr>
        <w:tc>
          <w:tcPr>
            <w:tcW w:w="6379" w:type="dxa"/>
            <w:vAlign w:val="center"/>
          </w:tcPr>
          <w:p w14:paraId="3D784C2F" w14:textId="77777777" w:rsidR="00D84885" w:rsidRPr="007137AB" w:rsidRDefault="00D84885" w:rsidP="000554BC">
            <w:pPr>
              <w:pStyle w:val="NoSpacing"/>
              <w:rPr>
                <w:color w:val="FF0000"/>
              </w:rPr>
            </w:pPr>
            <w:r w:rsidRPr="00FA7042">
              <w:lastRenderedPageBreak/>
              <w:t>PCB materials</w:t>
            </w:r>
          </w:p>
        </w:tc>
      </w:tr>
      <w:tr w:rsidR="007137AB" w:rsidRPr="007137AB" w14:paraId="2EB80FE3" w14:textId="77777777" w:rsidTr="000554BC">
        <w:trPr>
          <w:trHeight w:val="300"/>
        </w:trPr>
        <w:tc>
          <w:tcPr>
            <w:tcW w:w="6379" w:type="dxa"/>
            <w:vAlign w:val="center"/>
          </w:tcPr>
          <w:p w14:paraId="2DEB1602" w14:textId="77777777" w:rsidR="00D84885" w:rsidRPr="007137AB" w:rsidRDefault="00D84885" w:rsidP="000554BC">
            <w:pPr>
              <w:pStyle w:val="NoSpacing"/>
              <w:rPr>
                <w:color w:val="FF0000"/>
              </w:rPr>
            </w:pPr>
            <w:r w:rsidRPr="00FA7042">
              <w:t>Pesticides - non Schedule X</w:t>
            </w:r>
          </w:p>
        </w:tc>
      </w:tr>
      <w:tr w:rsidR="007137AB" w:rsidRPr="007137AB" w14:paraId="30AD25E6" w14:textId="77777777" w:rsidTr="000554BC">
        <w:trPr>
          <w:trHeight w:val="300"/>
        </w:trPr>
        <w:tc>
          <w:tcPr>
            <w:tcW w:w="6379" w:type="dxa"/>
            <w:vAlign w:val="center"/>
          </w:tcPr>
          <w:p w14:paraId="6646440A" w14:textId="77777777" w:rsidR="00D84885" w:rsidRPr="007137AB" w:rsidRDefault="00D84885" w:rsidP="000554BC">
            <w:pPr>
              <w:pStyle w:val="NoSpacing"/>
              <w:rPr>
                <w:color w:val="FF0000"/>
              </w:rPr>
            </w:pPr>
            <w:r w:rsidRPr="00FA7042">
              <w:t>Pesticides - Schedule X</w:t>
            </w:r>
          </w:p>
        </w:tc>
      </w:tr>
      <w:tr w:rsidR="007137AB" w:rsidRPr="007137AB" w14:paraId="28984E3C" w14:textId="77777777" w:rsidTr="00FA7042">
        <w:trPr>
          <w:trHeight w:val="82"/>
        </w:trPr>
        <w:tc>
          <w:tcPr>
            <w:tcW w:w="6379" w:type="dxa"/>
            <w:vAlign w:val="center"/>
          </w:tcPr>
          <w:p w14:paraId="7D93C277" w14:textId="77777777" w:rsidR="00D84885" w:rsidRPr="00FA7042" w:rsidRDefault="00D84885" w:rsidP="000554BC">
            <w:pPr>
              <w:pStyle w:val="NoSpacing"/>
            </w:pPr>
            <w:r w:rsidRPr="00FA7042">
              <w:t>Solvents - halogenated</w:t>
            </w:r>
          </w:p>
        </w:tc>
      </w:tr>
      <w:tr w:rsidR="007137AB" w:rsidRPr="007137AB" w14:paraId="327D1FA6" w14:textId="77777777" w:rsidTr="00E678BD">
        <w:trPr>
          <w:trHeight w:val="300"/>
        </w:trPr>
        <w:tc>
          <w:tcPr>
            <w:tcW w:w="6379" w:type="dxa"/>
            <w:tcBorders>
              <w:bottom w:val="single" w:sz="4" w:space="0" w:color="auto"/>
            </w:tcBorders>
            <w:vAlign w:val="center"/>
          </w:tcPr>
          <w:p w14:paraId="75FE2923" w14:textId="77777777" w:rsidR="00D84885" w:rsidRPr="00FA7042" w:rsidRDefault="00D84885" w:rsidP="000554BC">
            <w:pPr>
              <w:pStyle w:val="NoSpacing"/>
            </w:pPr>
            <w:r w:rsidRPr="00FA7042">
              <w:t>Toxics</w:t>
            </w:r>
          </w:p>
        </w:tc>
      </w:tr>
      <w:tr w:rsidR="009F75B3" w:rsidRPr="007137AB" w14:paraId="33476B5C" w14:textId="77777777" w:rsidTr="00E678BD">
        <w:trPr>
          <w:trHeight w:val="300"/>
        </w:trPr>
        <w:tc>
          <w:tcPr>
            <w:tcW w:w="6379" w:type="dxa"/>
            <w:tcBorders>
              <w:top w:val="single" w:sz="4" w:space="0" w:color="auto"/>
              <w:left w:val="nil"/>
              <w:bottom w:val="single" w:sz="4" w:space="0" w:color="auto"/>
              <w:right w:val="nil"/>
            </w:tcBorders>
            <w:vAlign w:val="center"/>
          </w:tcPr>
          <w:p w14:paraId="0533E791" w14:textId="77777777" w:rsidR="009F75B3" w:rsidRPr="00FA7042" w:rsidRDefault="009F75B3" w:rsidP="000554BC">
            <w:pPr>
              <w:pStyle w:val="NoSpacing"/>
            </w:pPr>
          </w:p>
        </w:tc>
      </w:tr>
      <w:tr w:rsidR="009F75B3" w:rsidRPr="007137AB" w14:paraId="399ADAED" w14:textId="77777777" w:rsidTr="005638B0">
        <w:trPr>
          <w:trHeight w:val="300"/>
        </w:trPr>
        <w:tc>
          <w:tcPr>
            <w:tcW w:w="6379" w:type="dxa"/>
            <w:tcBorders>
              <w:top w:val="single" w:sz="4" w:space="0" w:color="auto"/>
            </w:tcBorders>
            <w:shd w:val="clear" w:color="auto" w:fill="E5B8B7" w:themeFill="accent2" w:themeFillTint="66"/>
            <w:vAlign w:val="center"/>
          </w:tcPr>
          <w:p w14:paraId="55EE7F6A" w14:textId="77777777" w:rsidR="009F75B3" w:rsidRPr="00FA7042" w:rsidRDefault="009F75B3" w:rsidP="000554BC">
            <w:pPr>
              <w:pStyle w:val="NoSpacing"/>
              <w:rPr>
                <w:b/>
              </w:rPr>
            </w:pPr>
            <w:r w:rsidRPr="00FA7042">
              <w:rPr>
                <w:b/>
              </w:rPr>
              <w:t>Priority 2 Materials</w:t>
            </w:r>
          </w:p>
        </w:tc>
      </w:tr>
      <w:tr w:rsidR="009F75B3" w:rsidRPr="007137AB" w14:paraId="5D7F3734" w14:textId="77777777" w:rsidTr="000554BC">
        <w:trPr>
          <w:trHeight w:val="300"/>
        </w:trPr>
        <w:tc>
          <w:tcPr>
            <w:tcW w:w="6379" w:type="dxa"/>
            <w:vAlign w:val="center"/>
          </w:tcPr>
          <w:p w14:paraId="04CD92A3" w14:textId="77777777" w:rsidR="009F75B3" w:rsidRPr="00FA7042" w:rsidRDefault="009F75B3" w:rsidP="000554BC">
            <w:pPr>
              <w:pStyle w:val="NoSpacing"/>
            </w:pPr>
            <w:r w:rsidRPr="00FA7042">
              <w:t>Paint - water based</w:t>
            </w:r>
          </w:p>
        </w:tc>
      </w:tr>
      <w:tr w:rsidR="00FA7042" w:rsidRPr="007137AB" w14:paraId="602FD296" w14:textId="77777777" w:rsidTr="000554BC">
        <w:trPr>
          <w:trHeight w:val="300"/>
        </w:trPr>
        <w:tc>
          <w:tcPr>
            <w:tcW w:w="6379" w:type="dxa"/>
            <w:vAlign w:val="center"/>
          </w:tcPr>
          <w:p w14:paraId="7475A45F" w14:textId="77777777" w:rsidR="00FA7042" w:rsidRPr="00FA7042" w:rsidRDefault="00FA7042" w:rsidP="000554BC">
            <w:pPr>
              <w:pStyle w:val="NoSpacing"/>
            </w:pPr>
            <w:r w:rsidRPr="00FA7042">
              <w:t>Paint - recyclable</w:t>
            </w:r>
          </w:p>
        </w:tc>
      </w:tr>
      <w:tr w:rsidR="009F75B3" w:rsidRPr="007137AB" w14:paraId="38DFDED3" w14:textId="77777777" w:rsidTr="000554BC">
        <w:trPr>
          <w:trHeight w:val="300"/>
        </w:trPr>
        <w:tc>
          <w:tcPr>
            <w:tcW w:w="6379" w:type="dxa"/>
            <w:vAlign w:val="center"/>
          </w:tcPr>
          <w:p w14:paraId="25AEAAEC" w14:textId="77777777" w:rsidR="009F75B3" w:rsidRPr="00FA7042" w:rsidRDefault="009F75B3" w:rsidP="000554BC">
            <w:pPr>
              <w:pStyle w:val="NoSpacing"/>
            </w:pPr>
            <w:r w:rsidRPr="00FA7042">
              <w:t>Fluorescent tubes and light fittings (CFL’s)</w:t>
            </w:r>
          </w:p>
        </w:tc>
      </w:tr>
      <w:tr w:rsidR="00F24A3D" w:rsidRPr="007137AB" w14:paraId="246C5D54" w14:textId="77777777" w:rsidTr="000554BC">
        <w:trPr>
          <w:trHeight w:val="300"/>
        </w:trPr>
        <w:tc>
          <w:tcPr>
            <w:tcW w:w="6379" w:type="dxa"/>
            <w:vAlign w:val="center"/>
          </w:tcPr>
          <w:p w14:paraId="7F741C3D" w14:textId="77777777" w:rsidR="00F24A3D" w:rsidRPr="00FA7042" w:rsidRDefault="00F24A3D" w:rsidP="000554BC">
            <w:pPr>
              <w:pStyle w:val="NoSpacing"/>
            </w:pPr>
            <w:r>
              <w:t>Non dangerous goods materials</w:t>
            </w:r>
          </w:p>
        </w:tc>
      </w:tr>
    </w:tbl>
    <w:p w14:paraId="6C451B15" w14:textId="77777777" w:rsidR="00D84885" w:rsidRDefault="00D84885" w:rsidP="00D84885">
      <w:pPr>
        <w:rPr>
          <w:b/>
          <w:color w:val="FF0000"/>
        </w:rPr>
      </w:pPr>
    </w:p>
    <w:p w14:paraId="31550EE9" w14:textId="77777777" w:rsidR="00361F65" w:rsidRPr="00613F87" w:rsidRDefault="00361F65" w:rsidP="00D84885">
      <w:pPr>
        <w:rPr>
          <w:b/>
          <w:color w:val="FF0000"/>
        </w:rPr>
      </w:pPr>
    </w:p>
    <w:p w14:paraId="322CDDFB" w14:textId="77777777" w:rsidR="00D84885" w:rsidRPr="003603CE" w:rsidRDefault="00030147" w:rsidP="00D84885">
      <w:pPr>
        <w:rPr>
          <w:b/>
        </w:rPr>
      </w:pPr>
      <w:r w:rsidRPr="003603CE">
        <w:rPr>
          <w:b/>
        </w:rPr>
        <w:t>Review of materials in scope:</w:t>
      </w:r>
    </w:p>
    <w:p w14:paraId="7E4CA8A4" w14:textId="77777777" w:rsidR="00030147" w:rsidRPr="00030147" w:rsidRDefault="00030147" w:rsidP="00030147">
      <w:pPr>
        <w:rPr>
          <w:color w:val="FF0000"/>
        </w:rPr>
      </w:pPr>
      <w:r w:rsidRPr="003603CE">
        <w:t>All parties to the HHW agreement (including participating HHW Program Local Governments/ Regional Councils</w:t>
      </w:r>
      <w:r w:rsidR="003603CE" w:rsidRPr="003603CE">
        <w:t>, HHW Advisory Committee, Program coordinator/s and service providers</w:t>
      </w:r>
      <w:r w:rsidRPr="003603CE">
        <w:t>) may initiate a review of the materials in scope by way of submission to the Waste Authority by 31 December in each year of the agreement. Submi</w:t>
      </w:r>
      <w:r w:rsidR="003603CE" w:rsidRPr="003603CE">
        <w:t>ssions must include details and rationale of proposed changes. In the event of a submission for proposed changes to the scope of materials, the Waste Authority must complete the review by 30 March and any amendments to the materials in scope should take effect from 1 July in that year.</w:t>
      </w:r>
    </w:p>
    <w:p w14:paraId="5DEEA033" w14:textId="77777777" w:rsidR="00D84885" w:rsidRPr="00613F87" w:rsidRDefault="00D84885" w:rsidP="00D84885">
      <w:pPr>
        <w:rPr>
          <w:color w:val="FF0000"/>
        </w:rPr>
      </w:pPr>
    </w:p>
    <w:sectPr w:rsidR="00D84885" w:rsidRPr="00613F87" w:rsidSect="003B70F6">
      <w:headerReference w:type="default" r:id="rId8"/>
      <w:footerReference w:type="default" r:id="rId9"/>
      <w:headerReference w:type="first" r:id="rId10"/>
      <w:footerReference w:type="first" r:id="rId11"/>
      <w:pgSz w:w="11906" w:h="16838"/>
      <w:pgMar w:top="567" w:right="991" w:bottom="993" w:left="1440" w:header="56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C2CCA" w14:textId="77777777" w:rsidR="00D43CE3" w:rsidRDefault="00D43CE3" w:rsidP="0024186F">
      <w:r>
        <w:separator/>
      </w:r>
    </w:p>
  </w:endnote>
  <w:endnote w:type="continuationSeparator" w:id="0">
    <w:p w14:paraId="7CF972FD" w14:textId="77777777" w:rsidR="00D43CE3" w:rsidRDefault="00D43CE3" w:rsidP="0024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8E01D" w14:textId="77777777" w:rsidR="007A1001" w:rsidRDefault="000A0CA3" w:rsidP="0024186F">
    <w:pPr>
      <w:pStyle w:val="Footer"/>
    </w:pPr>
    <w:r>
      <w:tab/>
    </w:r>
  </w:p>
  <w:p w14:paraId="066A9BF8" w14:textId="77777777" w:rsidR="00B97D19" w:rsidRDefault="003A020B" w:rsidP="0024186F">
    <w:r>
      <w:rPr>
        <w:noProof/>
        <w:lang w:eastAsia="en-AU"/>
      </w:rPr>
      <mc:AlternateContent>
        <mc:Choice Requires="wps">
          <w:drawing>
            <wp:anchor distT="45720" distB="45720" distL="114300" distR="114300" simplePos="0" relativeHeight="251662336" behindDoc="0" locked="0" layoutInCell="1" allowOverlap="1" wp14:anchorId="49F6F4FF" wp14:editId="2221C3EA">
              <wp:simplePos x="0" y="0"/>
              <wp:positionH relativeFrom="column">
                <wp:posOffset>-297758</wp:posOffset>
              </wp:positionH>
              <wp:positionV relativeFrom="paragraph">
                <wp:posOffset>332048</wp:posOffset>
              </wp:positionV>
              <wp:extent cx="6622472"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472" cy="1404620"/>
                      </a:xfrm>
                      <a:prstGeom prst="rect">
                        <a:avLst/>
                      </a:prstGeom>
                      <a:noFill/>
                      <a:ln w="9525">
                        <a:noFill/>
                        <a:miter lim="800000"/>
                        <a:headEnd/>
                        <a:tailEnd/>
                      </a:ln>
                    </wps:spPr>
                    <wps:txbx>
                      <w:txbxContent>
                        <w:p w14:paraId="03F9458E" w14:textId="77777777" w:rsidR="003A020B" w:rsidRDefault="003A020B" w:rsidP="003A020B">
                          <w:pPr>
                            <w:pStyle w:val="Footer"/>
                            <w:tabs>
                              <w:tab w:val="clear" w:pos="9026"/>
                              <w:tab w:val="right" w:pos="10065"/>
                            </w:tabs>
                          </w:pPr>
                          <w:r>
                            <w:rPr>
                              <w:sz w:val="18"/>
                              <w:szCs w:val="18"/>
                            </w:rPr>
                            <w:t>www.walga.asn.au</w:t>
                          </w:r>
                          <w:r>
                            <w:t xml:space="preserve"> </w:t>
                          </w:r>
                          <w:sdt>
                            <w:sdtPr>
                              <w:id w:val="-1572727570"/>
                              <w:docPartObj>
                                <w:docPartGallery w:val="Page Numbers (Bottom of Page)"/>
                                <w:docPartUnique/>
                              </w:docPartObj>
                            </w:sdtPr>
                            <w:sdtEndPr>
                              <w:rPr>
                                <w:noProof/>
                              </w:rPr>
                            </w:sdtEndPr>
                            <w:sdtContent>
                              <w:r w:rsidRPr="00AA167B">
                                <w:t xml:space="preserve"> </w:t>
                              </w:r>
                              <w:r>
                                <w:tab/>
                              </w:r>
                              <w:r>
                                <w:tab/>
                              </w:r>
                              <w:r w:rsidRPr="0071775A">
                                <w:rPr>
                                  <w:sz w:val="18"/>
                                  <w:szCs w:val="18"/>
                                </w:rPr>
                                <w:fldChar w:fldCharType="begin"/>
                              </w:r>
                              <w:r w:rsidRPr="0071775A">
                                <w:rPr>
                                  <w:sz w:val="18"/>
                                  <w:szCs w:val="18"/>
                                </w:rPr>
                                <w:instrText xml:space="preserve"> PAGE   \* MERGEFORMAT </w:instrText>
                              </w:r>
                              <w:r w:rsidRPr="0071775A">
                                <w:rPr>
                                  <w:sz w:val="18"/>
                                  <w:szCs w:val="18"/>
                                </w:rPr>
                                <w:fldChar w:fldCharType="separate"/>
                              </w:r>
                              <w:r w:rsidR="00844582">
                                <w:rPr>
                                  <w:noProof/>
                                  <w:sz w:val="18"/>
                                  <w:szCs w:val="18"/>
                                </w:rPr>
                                <w:t>4</w:t>
                              </w:r>
                              <w:r w:rsidRPr="0071775A">
                                <w:rPr>
                                  <w:noProof/>
                                  <w:sz w:val="18"/>
                                  <w:szCs w:val="18"/>
                                </w:rPr>
                                <w:fldChar w:fldCharType="end"/>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6F4FF" id="_x0000_t202" coordsize="21600,21600" o:spt="202" path="m,l,21600r21600,l21600,xe">
              <v:stroke joinstyle="miter"/>
              <v:path gradientshapeok="t" o:connecttype="rect"/>
            </v:shapetype>
            <v:shape id="Text Box 2" o:spid="_x0000_s1026" type="#_x0000_t202" style="position:absolute;margin-left:-23.45pt;margin-top:26.15pt;width:521.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" filled="f" stroked="f">
              <v:textbox style="mso-fit-shape-to-text:t">
                <w:txbxContent>
                  <w:p w14:paraId="03F9458E" w14:textId="77777777" w:rsidR="003A020B" w:rsidRDefault="003A020B" w:rsidP="003A020B">
                    <w:pPr>
                      <w:pStyle w:val="Footer"/>
                      <w:tabs>
                        <w:tab w:val="clear" w:pos="9026"/>
                        <w:tab w:val="right" w:pos="10065"/>
                      </w:tabs>
                    </w:pPr>
                    <w:r>
                      <w:rPr>
                        <w:sz w:val="18"/>
                        <w:szCs w:val="18"/>
                      </w:rPr>
                      <w:t>www.walga.asn.au</w:t>
                    </w:r>
                    <w:r>
                      <w:t xml:space="preserve"> </w:t>
                    </w:r>
                    <w:sdt>
                      <w:sdtPr>
                        <w:id w:val="-1572727570"/>
                        <w:docPartObj>
                          <w:docPartGallery w:val="Page Numbers (Bottom of Page)"/>
                          <w:docPartUnique/>
                        </w:docPartObj>
                      </w:sdtPr>
                      <w:sdtEndPr>
                        <w:rPr>
                          <w:noProof/>
                        </w:rPr>
                      </w:sdtEndPr>
                      <w:sdtContent>
                        <w:r w:rsidRPr="00AA167B">
                          <w:t xml:space="preserve"> </w:t>
                        </w:r>
                        <w:r>
                          <w:tab/>
                        </w:r>
                        <w:r>
                          <w:tab/>
                        </w:r>
                        <w:r w:rsidRPr="0071775A">
                          <w:rPr>
                            <w:sz w:val="18"/>
                            <w:szCs w:val="18"/>
                          </w:rPr>
                          <w:fldChar w:fldCharType="begin"/>
                        </w:r>
                        <w:r w:rsidRPr="0071775A">
                          <w:rPr>
                            <w:sz w:val="18"/>
                            <w:szCs w:val="18"/>
                          </w:rPr>
                          <w:instrText xml:space="preserve"> PAGE   \* MERGEFORMAT </w:instrText>
                        </w:r>
                        <w:r w:rsidRPr="0071775A">
                          <w:rPr>
                            <w:sz w:val="18"/>
                            <w:szCs w:val="18"/>
                          </w:rPr>
                          <w:fldChar w:fldCharType="separate"/>
                        </w:r>
                        <w:r w:rsidR="00844582">
                          <w:rPr>
                            <w:noProof/>
                            <w:sz w:val="18"/>
                            <w:szCs w:val="18"/>
                          </w:rPr>
                          <w:t>4</w:t>
                        </w:r>
                        <w:r w:rsidRPr="0071775A">
                          <w:rPr>
                            <w:noProof/>
                            <w:sz w:val="18"/>
                            <w:szCs w:val="18"/>
                          </w:rPr>
                          <w:fldChar w:fldCharType="end"/>
                        </w:r>
                      </w:sdtContent>
                    </w:sdt>
                  </w:p>
                </w:txbxContent>
              </v:textbox>
            </v:shape>
          </w:pict>
        </mc:Fallback>
      </mc:AlternateContent>
    </w:r>
    <w:r w:rsidRPr="00AA167B">
      <w:rPr>
        <w:noProof/>
        <w:lang w:eastAsia="en-AU"/>
      </w:rPr>
      <w:drawing>
        <wp:anchor distT="0" distB="0" distL="114300" distR="114300" simplePos="0" relativeHeight="251660288" behindDoc="1" locked="0" layoutInCell="1" allowOverlap="1" wp14:anchorId="0465A35B" wp14:editId="4A388824">
          <wp:simplePos x="0" y="0"/>
          <wp:positionH relativeFrom="column">
            <wp:posOffset>-368704</wp:posOffset>
          </wp:positionH>
          <wp:positionV relativeFrom="paragraph">
            <wp:posOffset>287770</wp:posOffset>
          </wp:positionV>
          <wp:extent cx="6787515" cy="30797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Band.png"/>
                  <pic:cNvPicPr/>
                </pic:nvPicPr>
                <pic:blipFill>
                  <a:blip r:embed="rId1">
                    <a:extLst>
                      <a:ext uri="{28A0092B-C50C-407E-A947-70E740481C1C}">
                        <a14:useLocalDpi xmlns:a14="http://schemas.microsoft.com/office/drawing/2010/main" val="0"/>
                      </a:ext>
                    </a:extLst>
                  </a:blip>
                  <a:stretch>
                    <a:fillRect/>
                  </a:stretch>
                </pic:blipFill>
                <pic:spPr>
                  <a:xfrm>
                    <a:off x="0" y="0"/>
                    <a:ext cx="6787515" cy="307975"/>
                  </a:xfrm>
                  <a:prstGeom prst="rect">
                    <a:avLst/>
                  </a:prstGeom>
                </pic:spPr>
              </pic:pic>
            </a:graphicData>
          </a:graphic>
          <wp14:sizeRelH relativeFrom="page">
            <wp14:pctWidth>0</wp14:pctWidth>
          </wp14:sizeRelH>
          <wp14:sizeRelV relativeFrom="page">
            <wp14:pctHeight>0</wp14:pctHeight>
          </wp14:sizeRelV>
        </wp:anchor>
      </w:drawing>
    </w:r>
  </w:p>
  <w:p w14:paraId="42EE2DFE" w14:textId="77777777" w:rsidR="00B97D19" w:rsidRDefault="00B97D19" w:rsidP="002418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56BE8" w14:textId="77777777" w:rsidR="006E3BCA" w:rsidRDefault="006E3BCA" w:rsidP="006E3BCA">
    <w:pPr>
      <w:pStyle w:val="Footer"/>
      <w:ind w:left="-1134"/>
    </w:pPr>
    <w:r>
      <w:rPr>
        <w:noProof/>
        <w:sz w:val="18"/>
        <w:szCs w:val="18"/>
        <w:lang w:val="en-AU" w:eastAsia="en-AU"/>
      </w:rPr>
      <w:drawing>
        <wp:anchor distT="0" distB="0" distL="114300" distR="114300" simplePos="0" relativeHeight="251664384" behindDoc="1" locked="0" layoutInCell="1" allowOverlap="1" wp14:anchorId="1E4F78C1" wp14:editId="69D847D9">
          <wp:simplePos x="0" y="0"/>
          <wp:positionH relativeFrom="column">
            <wp:posOffset>-577850</wp:posOffset>
          </wp:positionH>
          <wp:positionV relativeFrom="paragraph">
            <wp:posOffset>95250</wp:posOffset>
          </wp:positionV>
          <wp:extent cx="6787515" cy="307975"/>
          <wp:effectExtent l="0" t="0" r="0" b="0"/>
          <wp:wrapTight wrapText="bothSides">
            <wp:wrapPolygon edited="0">
              <wp:start x="0" y="0"/>
              <wp:lineTo x="0" y="20041"/>
              <wp:lineTo x="21521" y="20041"/>
              <wp:lineTo x="2152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Band.png"/>
                  <pic:cNvPicPr/>
                </pic:nvPicPr>
                <pic:blipFill>
                  <a:blip r:embed="rId1">
                    <a:extLst>
                      <a:ext uri="{28A0092B-C50C-407E-A947-70E740481C1C}">
                        <a14:useLocalDpi xmlns:a14="http://schemas.microsoft.com/office/drawing/2010/main" val="0"/>
                      </a:ext>
                    </a:extLst>
                  </a:blip>
                  <a:stretch>
                    <a:fillRect/>
                  </a:stretch>
                </pic:blipFill>
                <pic:spPr>
                  <a:xfrm>
                    <a:off x="0" y="0"/>
                    <a:ext cx="6787515" cy="3079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64F62" w14:textId="77777777" w:rsidR="00D43CE3" w:rsidRDefault="00D43CE3" w:rsidP="0024186F">
      <w:r>
        <w:separator/>
      </w:r>
    </w:p>
  </w:footnote>
  <w:footnote w:type="continuationSeparator" w:id="0">
    <w:p w14:paraId="2BFDE190" w14:textId="77777777" w:rsidR="00D43CE3" w:rsidRDefault="00D43CE3" w:rsidP="0024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242"/>
    </w:tblGrid>
    <w:tr w:rsidR="00F42482" w14:paraId="3AEAA05D" w14:textId="77777777" w:rsidTr="0071775A">
      <w:trPr>
        <w:trHeight w:val="430"/>
      </w:trPr>
      <w:tc>
        <w:tcPr>
          <w:tcW w:w="9242" w:type="dxa"/>
          <w:shd w:val="clear" w:color="auto" w:fill="FFFFFF" w:themeFill="background1"/>
        </w:tcPr>
        <w:p w14:paraId="6AE0133C" w14:textId="77777777" w:rsidR="00F42482" w:rsidRDefault="00FF4742" w:rsidP="00E46C21">
          <w:pPr>
            <w:pStyle w:val="Header"/>
            <w:tabs>
              <w:tab w:val="clear" w:pos="4513"/>
              <w:tab w:val="clear" w:pos="9026"/>
              <w:tab w:val="left" w:pos="4003"/>
            </w:tabs>
          </w:pPr>
          <w:r>
            <w:rPr>
              <w:noProof/>
              <w:lang w:val="en-AU" w:eastAsia="en-AU"/>
            </w:rPr>
            <w:drawing>
              <wp:inline distT="0" distB="0" distL="0" distR="0" wp14:anchorId="1464B8ED" wp14:editId="77170A66">
                <wp:extent cx="588146" cy="448573"/>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145" cy="448572"/>
                        </a:xfrm>
                        <a:prstGeom prst="rect">
                          <a:avLst/>
                        </a:prstGeom>
                      </pic:spPr>
                    </pic:pic>
                  </a:graphicData>
                </a:graphic>
              </wp:inline>
            </w:drawing>
          </w:r>
          <w:r w:rsidR="0071775A">
            <w:tab/>
          </w:r>
        </w:p>
        <w:p w14:paraId="314EE66D" w14:textId="77777777" w:rsidR="00F42482" w:rsidRDefault="00844582" w:rsidP="0024186F">
          <w:pPr>
            <w:pStyle w:val="Header"/>
          </w:pPr>
        </w:p>
      </w:tc>
    </w:tr>
  </w:tbl>
  <w:p w14:paraId="5616F589" w14:textId="77777777" w:rsidR="00B97D19" w:rsidRDefault="00B97D19" w:rsidP="002418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5316F" w14:textId="77777777" w:rsidR="006E3BCA" w:rsidRDefault="006E3BCA" w:rsidP="006E3BCA">
    <w:pPr>
      <w:pStyle w:val="Header"/>
      <w:ind w:left="-1134"/>
    </w:pPr>
    <w:r w:rsidRPr="00285DE9">
      <w:rPr>
        <w:noProof/>
        <w:lang w:val="en-AU" w:eastAsia="en-AU"/>
      </w:rPr>
      <w:drawing>
        <wp:inline distT="0" distB="0" distL="0" distR="0" wp14:anchorId="75CB9BC0" wp14:editId="1F230A51">
          <wp:extent cx="7254875" cy="177419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Title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4875" cy="17741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A5681"/>
    <w:multiLevelType w:val="hybridMultilevel"/>
    <w:tmpl w:val="42040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9E59A3"/>
    <w:multiLevelType w:val="hybridMultilevel"/>
    <w:tmpl w:val="39C49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502FB7"/>
    <w:multiLevelType w:val="multilevel"/>
    <w:tmpl w:val="D944A00A"/>
    <w:lvl w:ilvl="0">
      <w:start w:val="1"/>
      <w:numFmt w:val="decimal"/>
      <w:pStyle w:val="Heading1"/>
      <w:lvlText w:val="%1.0"/>
      <w:lvlJc w:val="left"/>
      <w:pPr>
        <w:ind w:left="468" w:hanging="468"/>
      </w:pPr>
      <w:rPr>
        <w:rFonts w:hint="default"/>
      </w:rPr>
    </w:lvl>
    <w:lvl w:ilvl="1">
      <w:start w:val="1"/>
      <w:numFmt w:val="decimal"/>
      <w:pStyle w:val="Heading2"/>
      <w:lvlText w:val="%1.%2"/>
      <w:lvlJc w:val="left"/>
      <w:pPr>
        <w:ind w:left="1188" w:hanging="468"/>
      </w:pPr>
      <w:rPr>
        <w:rFonts w:hint="default"/>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F886974"/>
    <w:multiLevelType w:val="hybridMultilevel"/>
    <w:tmpl w:val="746E2F3C"/>
    <w:lvl w:ilvl="0" w:tplc="8B54A4EC">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2A22E6"/>
    <w:multiLevelType w:val="hybridMultilevel"/>
    <w:tmpl w:val="E214D2A4"/>
    <w:lvl w:ilvl="0" w:tplc="5D5E381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A61AF5"/>
    <w:multiLevelType w:val="hybridMultilevel"/>
    <w:tmpl w:val="A3FCA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B80A86"/>
    <w:multiLevelType w:val="hybridMultilevel"/>
    <w:tmpl w:val="1A4C5C7A"/>
    <w:lvl w:ilvl="0" w:tplc="35149A4E">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A5C183D"/>
    <w:multiLevelType w:val="hybridMultilevel"/>
    <w:tmpl w:val="1F56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835D3"/>
    <w:multiLevelType w:val="hybridMultilevel"/>
    <w:tmpl w:val="581A6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403A5"/>
    <w:multiLevelType w:val="hybridMultilevel"/>
    <w:tmpl w:val="1AD00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144F93"/>
    <w:multiLevelType w:val="hybridMultilevel"/>
    <w:tmpl w:val="065A0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2"/>
  </w:num>
  <w:num w:numId="5">
    <w:abstractNumId w:val="0"/>
  </w:num>
  <w:num w:numId="6">
    <w:abstractNumId w:val="2"/>
  </w:num>
  <w:num w:numId="7">
    <w:abstractNumId w:val="2"/>
  </w:num>
  <w:num w:numId="8">
    <w:abstractNumId w:val="2"/>
  </w:num>
  <w:num w:numId="9">
    <w:abstractNumId w:val="5"/>
  </w:num>
  <w:num w:numId="10">
    <w:abstractNumId w:val="9"/>
  </w:num>
  <w:num w:numId="11">
    <w:abstractNumId w:val="2"/>
  </w:num>
  <w:num w:numId="12">
    <w:abstractNumId w:val="3"/>
  </w:num>
  <w:num w:numId="13">
    <w:abstractNumId w:val="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2B"/>
    <w:rsid w:val="00011A50"/>
    <w:rsid w:val="00014ECD"/>
    <w:rsid w:val="00026FB0"/>
    <w:rsid w:val="00030147"/>
    <w:rsid w:val="000554BC"/>
    <w:rsid w:val="000606A5"/>
    <w:rsid w:val="000609BA"/>
    <w:rsid w:val="00080225"/>
    <w:rsid w:val="0009211C"/>
    <w:rsid w:val="000A0CA3"/>
    <w:rsid w:val="000A7494"/>
    <w:rsid w:val="001177D3"/>
    <w:rsid w:val="00124C3D"/>
    <w:rsid w:val="00154A73"/>
    <w:rsid w:val="001938AE"/>
    <w:rsid w:val="001C76DE"/>
    <w:rsid w:val="001E5B03"/>
    <w:rsid w:val="00204293"/>
    <w:rsid w:val="00217275"/>
    <w:rsid w:val="00232E44"/>
    <w:rsid w:val="00234FE5"/>
    <w:rsid w:val="0024186F"/>
    <w:rsid w:val="00246485"/>
    <w:rsid w:val="0025112A"/>
    <w:rsid w:val="00254279"/>
    <w:rsid w:val="002643AB"/>
    <w:rsid w:val="002871D6"/>
    <w:rsid w:val="002937C5"/>
    <w:rsid w:val="00294973"/>
    <w:rsid w:val="002A6540"/>
    <w:rsid w:val="002B37D3"/>
    <w:rsid w:val="002B71C5"/>
    <w:rsid w:val="002C206C"/>
    <w:rsid w:val="002C3E24"/>
    <w:rsid w:val="002E70C7"/>
    <w:rsid w:val="00306C71"/>
    <w:rsid w:val="003100D7"/>
    <w:rsid w:val="00317AAD"/>
    <w:rsid w:val="003603CE"/>
    <w:rsid w:val="00361F65"/>
    <w:rsid w:val="00364093"/>
    <w:rsid w:val="003668A2"/>
    <w:rsid w:val="00371820"/>
    <w:rsid w:val="00380D4A"/>
    <w:rsid w:val="00383E28"/>
    <w:rsid w:val="003A020B"/>
    <w:rsid w:val="003B70F6"/>
    <w:rsid w:val="003D2880"/>
    <w:rsid w:val="00410A6A"/>
    <w:rsid w:val="0041789A"/>
    <w:rsid w:val="004478A1"/>
    <w:rsid w:val="00452801"/>
    <w:rsid w:val="00484571"/>
    <w:rsid w:val="00484AD9"/>
    <w:rsid w:val="0048699E"/>
    <w:rsid w:val="004C35AE"/>
    <w:rsid w:val="004D6E4F"/>
    <w:rsid w:val="004F4580"/>
    <w:rsid w:val="005512D0"/>
    <w:rsid w:val="00553D02"/>
    <w:rsid w:val="0056234A"/>
    <w:rsid w:val="005638B0"/>
    <w:rsid w:val="00590CED"/>
    <w:rsid w:val="00592AC3"/>
    <w:rsid w:val="005A1512"/>
    <w:rsid w:val="005A601D"/>
    <w:rsid w:val="005E095C"/>
    <w:rsid w:val="005E235E"/>
    <w:rsid w:val="006046E0"/>
    <w:rsid w:val="00613F87"/>
    <w:rsid w:val="00651627"/>
    <w:rsid w:val="006A71B8"/>
    <w:rsid w:val="006B4A7A"/>
    <w:rsid w:val="006C6B87"/>
    <w:rsid w:val="006E3BCA"/>
    <w:rsid w:val="006E584F"/>
    <w:rsid w:val="006F3EEA"/>
    <w:rsid w:val="006F67DF"/>
    <w:rsid w:val="00704181"/>
    <w:rsid w:val="00706D31"/>
    <w:rsid w:val="007137AB"/>
    <w:rsid w:val="0071775A"/>
    <w:rsid w:val="00721DD6"/>
    <w:rsid w:val="00767F79"/>
    <w:rsid w:val="00777DBD"/>
    <w:rsid w:val="00787D7C"/>
    <w:rsid w:val="007B5825"/>
    <w:rsid w:val="007C7940"/>
    <w:rsid w:val="00841E99"/>
    <w:rsid w:val="00842FA5"/>
    <w:rsid w:val="00844582"/>
    <w:rsid w:val="008756DB"/>
    <w:rsid w:val="00883B12"/>
    <w:rsid w:val="008A125F"/>
    <w:rsid w:val="008E0CD6"/>
    <w:rsid w:val="008F7A5C"/>
    <w:rsid w:val="00906422"/>
    <w:rsid w:val="009145B9"/>
    <w:rsid w:val="009277D5"/>
    <w:rsid w:val="00932FB8"/>
    <w:rsid w:val="00945C3D"/>
    <w:rsid w:val="0095032A"/>
    <w:rsid w:val="009561CA"/>
    <w:rsid w:val="009766B2"/>
    <w:rsid w:val="00982B51"/>
    <w:rsid w:val="00994CAD"/>
    <w:rsid w:val="009D0986"/>
    <w:rsid w:val="009D3448"/>
    <w:rsid w:val="009F75B3"/>
    <w:rsid w:val="00A00C25"/>
    <w:rsid w:val="00A23F43"/>
    <w:rsid w:val="00A34B6C"/>
    <w:rsid w:val="00A45073"/>
    <w:rsid w:val="00A53070"/>
    <w:rsid w:val="00A53C44"/>
    <w:rsid w:val="00A83275"/>
    <w:rsid w:val="00A8510C"/>
    <w:rsid w:val="00A87BDD"/>
    <w:rsid w:val="00A95850"/>
    <w:rsid w:val="00AA167B"/>
    <w:rsid w:val="00AA6B6C"/>
    <w:rsid w:val="00AB1F71"/>
    <w:rsid w:val="00AB27ED"/>
    <w:rsid w:val="00AD0E52"/>
    <w:rsid w:val="00AD13F3"/>
    <w:rsid w:val="00AE652B"/>
    <w:rsid w:val="00AF3AD1"/>
    <w:rsid w:val="00B10AAB"/>
    <w:rsid w:val="00B173FB"/>
    <w:rsid w:val="00B744A7"/>
    <w:rsid w:val="00B8562B"/>
    <w:rsid w:val="00B97D19"/>
    <w:rsid w:val="00BC542B"/>
    <w:rsid w:val="00BC5B2A"/>
    <w:rsid w:val="00C12103"/>
    <w:rsid w:val="00C17636"/>
    <w:rsid w:val="00C54976"/>
    <w:rsid w:val="00C867FC"/>
    <w:rsid w:val="00C87FD5"/>
    <w:rsid w:val="00C9435B"/>
    <w:rsid w:val="00CA5E2D"/>
    <w:rsid w:val="00CC36CF"/>
    <w:rsid w:val="00CC4B3A"/>
    <w:rsid w:val="00CC59E6"/>
    <w:rsid w:val="00D074D2"/>
    <w:rsid w:val="00D20AC9"/>
    <w:rsid w:val="00D32EA7"/>
    <w:rsid w:val="00D43CE3"/>
    <w:rsid w:val="00D611D0"/>
    <w:rsid w:val="00D74711"/>
    <w:rsid w:val="00D81486"/>
    <w:rsid w:val="00D84885"/>
    <w:rsid w:val="00D916B2"/>
    <w:rsid w:val="00DA1DB9"/>
    <w:rsid w:val="00DA4E52"/>
    <w:rsid w:val="00DC59C7"/>
    <w:rsid w:val="00DE31F6"/>
    <w:rsid w:val="00E01897"/>
    <w:rsid w:val="00E0490F"/>
    <w:rsid w:val="00E112A5"/>
    <w:rsid w:val="00E12278"/>
    <w:rsid w:val="00E242C6"/>
    <w:rsid w:val="00E46C21"/>
    <w:rsid w:val="00E55149"/>
    <w:rsid w:val="00E678BD"/>
    <w:rsid w:val="00E7488C"/>
    <w:rsid w:val="00E94F55"/>
    <w:rsid w:val="00E95489"/>
    <w:rsid w:val="00EA7E4B"/>
    <w:rsid w:val="00ED7D94"/>
    <w:rsid w:val="00EE4F7F"/>
    <w:rsid w:val="00F01E3B"/>
    <w:rsid w:val="00F24A3D"/>
    <w:rsid w:val="00F301FA"/>
    <w:rsid w:val="00F31943"/>
    <w:rsid w:val="00F3602F"/>
    <w:rsid w:val="00F74DC4"/>
    <w:rsid w:val="00F776BE"/>
    <w:rsid w:val="00F97242"/>
    <w:rsid w:val="00FA7042"/>
    <w:rsid w:val="00FE72EE"/>
    <w:rsid w:val="00FF47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CBC3E3"/>
  <w15:docId w15:val="{16B6F5DB-AAA8-46FB-90CC-744E6AA2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86F"/>
    <w:rPr>
      <w:rFonts w:ascii="Arial" w:hAnsi="Arial" w:cs="Arial"/>
    </w:rPr>
  </w:style>
  <w:style w:type="paragraph" w:styleId="Heading1">
    <w:name w:val="heading 1"/>
    <w:basedOn w:val="Normal"/>
    <w:next w:val="Normal"/>
    <w:link w:val="Heading1Char"/>
    <w:uiPriority w:val="9"/>
    <w:qFormat/>
    <w:rsid w:val="00026FB0"/>
    <w:pPr>
      <w:keepNext/>
      <w:keepLines/>
      <w:numPr>
        <w:numId w:val="4"/>
      </w:numPr>
      <w:spacing w:before="240" w:after="0"/>
      <w:ind w:left="567" w:hanging="567"/>
      <w:outlineLvl w:val="0"/>
    </w:pPr>
    <w:rPr>
      <w:rFonts w:eastAsiaTheme="majorEastAsia"/>
      <w:b/>
      <w:bCs/>
      <w:color w:val="175586"/>
      <w:sz w:val="28"/>
      <w:szCs w:val="28"/>
      <w:lang w:val="en-GB"/>
    </w:rPr>
  </w:style>
  <w:style w:type="paragraph" w:styleId="Heading2">
    <w:name w:val="heading 2"/>
    <w:basedOn w:val="Heading1"/>
    <w:next w:val="Normal"/>
    <w:link w:val="Heading2Char"/>
    <w:uiPriority w:val="9"/>
    <w:unhideWhenUsed/>
    <w:qFormat/>
    <w:rsid w:val="00026FB0"/>
    <w:pPr>
      <w:numPr>
        <w:ilvl w:val="1"/>
      </w:numPr>
      <w:ind w:left="567" w:hanging="567"/>
      <w:outlineLvl w:val="1"/>
    </w:pPr>
  </w:style>
  <w:style w:type="paragraph" w:styleId="Heading3">
    <w:name w:val="heading 3"/>
    <w:basedOn w:val="Heading2"/>
    <w:next w:val="Normal"/>
    <w:link w:val="Heading3Char"/>
    <w:uiPriority w:val="9"/>
    <w:unhideWhenUsed/>
    <w:qFormat/>
    <w:rsid w:val="00026FB0"/>
    <w:pPr>
      <w:numPr>
        <w:ilvl w:val="2"/>
      </w:numPr>
      <w:ind w:left="567" w:hanging="567"/>
      <w:outlineLvl w:val="2"/>
    </w:pPr>
  </w:style>
  <w:style w:type="paragraph" w:styleId="Heading4">
    <w:name w:val="heading 4"/>
    <w:basedOn w:val="Heading3"/>
    <w:next w:val="Normal"/>
    <w:link w:val="Heading4Char"/>
    <w:uiPriority w:val="9"/>
    <w:unhideWhenUsed/>
    <w:qFormat/>
    <w:rsid w:val="00026FB0"/>
    <w:pPr>
      <w:numPr>
        <w:ilvl w:val="3"/>
      </w:numPr>
      <w:ind w:left="1418" w:hanging="1418"/>
      <w:outlineLvl w:val="3"/>
    </w:pPr>
    <w:rPr>
      <w:b w:val="0"/>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FB0"/>
    <w:rPr>
      <w:rFonts w:ascii="Arial" w:eastAsiaTheme="majorEastAsia" w:hAnsi="Arial" w:cs="Arial"/>
      <w:b/>
      <w:bCs/>
      <w:color w:val="175586"/>
      <w:sz w:val="28"/>
      <w:szCs w:val="28"/>
      <w:lang w:val="en-GB"/>
    </w:rPr>
  </w:style>
  <w:style w:type="character" w:customStyle="1" w:styleId="Heading2Char">
    <w:name w:val="Heading 2 Char"/>
    <w:basedOn w:val="DefaultParagraphFont"/>
    <w:link w:val="Heading2"/>
    <w:uiPriority w:val="9"/>
    <w:rsid w:val="00026FB0"/>
    <w:rPr>
      <w:rFonts w:ascii="Arial" w:eastAsiaTheme="majorEastAsia" w:hAnsi="Arial" w:cs="Arial"/>
      <w:b/>
      <w:bCs/>
      <w:color w:val="175586"/>
      <w:sz w:val="28"/>
      <w:szCs w:val="28"/>
      <w:lang w:val="en-GB"/>
    </w:rPr>
  </w:style>
  <w:style w:type="paragraph" w:styleId="Header">
    <w:name w:val="header"/>
    <w:basedOn w:val="Normal"/>
    <w:link w:val="HeaderChar"/>
    <w:uiPriority w:val="99"/>
    <w:unhideWhenUsed/>
    <w:rsid w:val="00AE652B"/>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AE652B"/>
    <w:rPr>
      <w:lang w:val="en-GB"/>
    </w:rPr>
  </w:style>
  <w:style w:type="paragraph" w:styleId="Footer">
    <w:name w:val="footer"/>
    <w:basedOn w:val="Normal"/>
    <w:link w:val="FooterChar"/>
    <w:uiPriority w:val="99"/>
    <w:unhideWhenUsed/>
    <w:rsid w:val="00AE652B"/>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AE652B"/>
    <w:rPr>
      <w:lang w:val="en-GB"/>
    </w:rPr>
  </w:style>
  <w:style w:type="character" w:styleId="Hyperlink">
    <w:name w:val="Hyperlink"/>
    <w:basedOn w:val="DefaultParagraphFont"/>
    <w:uiPriority w:val="99"/>
    <w:unhideWhenUsed/>
    <w:rsid w:val="00AE652B"/>
    <w:rPr>
      <w:color w:val="0000FF" w:themeColor="hyperlink"/>
      <w:u w:val="single"/>
    </w:rPr>
  </w:style>
  <w:style w:type="table" w:styleId="TableGrid">
    <w:name w:val="Table Grid"/>
    <w:basedOn w:val="TableNormal"/>
    <w:uiPriority w:val="59"/>
    <w:rsid w:val="00AE65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52B"/>
    <w:pPr>
      <w:ind w:left="720"/>
      <w:contextualSpacing/>
    </w:pPr>
    <w:rPr>
      <w:lang w:val="en-GB"/>
    </w:rPr>
  </w:style>
  <w:style w:type="paragraph" w:styleId="TOCHeading">
    <w:name w:val="TOC Heading"/>
    <w:basedOn w:val="Heading1"/>
    <w:next w:val="Normal"/>
    <w:uiPriority w:val="39"/>
    <w:semiHidden/>
    <w:unhideWhenUsed/>
    <w:qFormat/>
    <w:rsid w:val="00AE652B"/>
    <w:pPr>
      <w:outlineLvl w:val="9"/>
    </w:pPr>
    <w:rPr>
      <w:lang w:val="en-US" w:eastAsia="ja-JP"/>
    </w:rPr>
  </w:style>
  <w:style w:type="paragraph" w:styleId="TOC1">
    <w:name w:val="toc 1"/>
    <w:basedOn w:val="Normal"/>
    <w:next w:val="Normal"/>
    <w:autoRedefine/>
    <w:uiPriority w:val="39"/>
    <w:unhideWhenUsed/>
    <w:rsid w:val="00AE652B"/>
    <w:pPr>
      <w:spacing w:after="100"/>
    </w:pPr>
    <w:rPr>
      <w:lang w:val="en-GB"/>
    </w:rPr>
  </w:style>
  <w:style w:type="paragraph" w:styleId="TOC2">
    <w:name w:val="toc 2"/>
    <w:basedOn w:val="Normal"/>
    <w:next w:val="Normal"/>
    <w:autoRedefine/>
    <w:uiPriority w:val="39"/>
    <w:unhideWhenUsed/>
    <w:rsid w:val="00AE652B"/>
    <w:pPr>
      <w:spacing w:after="100"/>
      <w:ind w:left="220"/>
    </w:pPr>
    <w:rPr>
      <w:lang w:val="en-GB"/>
    </w:rPr>
  </w:style>
  <w:style w:type="paragraph" w:customStyle="1" w:styleId="Heading01Yellow">
    <w:name w:val="Heading01 Yellow"/>
    <w:basedOn w:val="Normal"/>
    <w:link w:val="Heading01YellowChar"/>
    <w:qFormat/>
    <w:rsid w:val="00AE652B"/>
    <w:pPr>
      <w:spacing w:before="120" w:after="120" w:line="240" w:lineRule="auto"/>
    </w:pPr>
    <w:rPr>
      <w:noProof/>
      <w:color w:val="D8AE18"/>
      <w:sz w:val="50"/>
      <w:szCs w:val="50"/>
      <w:lang w:eastAsia="en-AU"/>
    </w:rPr>
  </w:style>
  <w:style w:type="paragraph" w:customStyle="1" w:styleId="Heading01Blue">
    <w:name w:val="Heading01 Blue"/>
    <w:basedOn w:val="Normal"/>
    <w:link w:val="Heading01BlueChar"/>
    <w:qFormat/>
    <w:rsid w:val="00AE652B"/>
    <w:pPr>
      <w:spacing w:before="120" w:after="120" w:line="240" w:lineRule="auto"/>
    </w:pPr>
    <w:rPr>
      <w:b/>
      <w:color w:val="205686"/>
      <w:sz w:val="50"/>
      <w:szCs w:val="50"/>
    </w:rPr>
  </w:style>
  <w:style w:type="character" w:customStyle="1" w:styleId="Heading01YellowChar">
    <w:name w:val="Heading01 Yellow Char"/>
    <w:basedOn w:val="DefaultParagraphFont"/>
    <w:link w:val="Heading01Yellow"/>
    <w:rsid w:val="00AE652B"/>
    <w:rPr>
      <w:rFonts w:ascii="Arial" w:hAnsi="Arial" w:cs="Arial"/>
      <w:noProof/>
      <w:color w:val="D8AE18"/>
      <w:sz w:val="50"/>
      <w:szCs w:val="50"/>
      <w:lang w:eastAsia="en-AU"/>
    </w:rPr>
  </w:style>
  <w:style w:type="paragraph" w:customStyle="1" w:styleId="FeatureCopy">
    <w:name w:val="Feature Copy"/>
    <w:basedOn w:val="Normal"/>
    <w:link w:val="FeatureCopyChar"/>
    <w:qFormat/>
    <w:rsid w:val="00AE652B"/>
    <w:pPr>
      <w:spacing w:after="0" w:line="240" w:lineRule="auto"/>
    </w:pPr>
    <w:rPr>
      <w:color w:val="205686"/>
      <w:szCs w:val="20"/>
    </w:rPr>
  </w:style>
  <w:style w:type="character" w:customStyle="1" w:styleId="Heading01BlueChar">
    <w:name w:val="Heading01 Blue Char"/>
    <w:basedOn w:val="DefaultParagraphFont"/>
    <w:link w:val="Heading01Blue"/>
    <w:rsid w:val="00AE652B"/>
    <w:rPr>
      <w:rFonts w:ascii="Arial" w:hAnsi="Arial" w:cs="Arial"/>
      <w:b/>
      <w:color w:val="205686"/>
      <w:sz w:val="50"/>
      <w:szCs w:val="50"/>
    </w:rPr>
  </w:style>
  <w:style w:type="paragraph" w:customStyle="1" w:styleId="BodyCopy">
    <w:name w:val="Body Copy"/>
    <w:basedOn w:val="Normal"/>
    <w:link w:val="BodyCopyChar"/>
    <w:qFormat/>
    <w:rsid w:val="00AE652B"/>
    <w:pPr>
      <w:spacing w:after="0" w:line="240" w:lineRule="auto"/>
    </w:pPr>
    <w:rPr>
      <w:sz w:val="18"/>
      <w:szCs w:val="18"/>
    </w:rPr>
  </w:style>
  <w:style w:type="character" w:customStyle="1" w:styleId="FeatureCopyChar">
    <w:name w:val="Feature Copy Char"/>
    <w:basedOn w:val="DefaultParagraphFont"/>
    <w:link w:val="FeatureCopy"/>
    <w:rsid w:val="00AE652B"/>
    <w:rPr>
      <w:rFonts w:ascii="Arial" w:hAnsi="Arial" w:cs="Arial"/>
      <w:color w:val="205686"/>
      <w:szCs w:val="20"/>
    </w:rPr>
  </w:style>
  <w:style w:type="character" w:customStyle="1" w:styleId="BodyCopyChar">
    <w:name w:val="Body Copy Char"/>
    <w:basedOn w:val="DefaultParagraphFont"/>
    <w:link w:val="BodyCopy"/>
    <w:rsid w:val="00AE652B"/>
    <w:rPr>
      <w:rFonts w:ascii="Arial" w:hAnsi="Arial" w:cs="Arial"/>
      <w:sz w:val="18"/>
      <w:szCs w:val="18"/>
    </w:rPr>
  </w:style>
  <w:style w:type="paragraph" w:styleId="BalloonText">
    <w:name w:val="Balloon Text"/>
    <w:basedOn w:val="Normal"/>
    <w:link w:val="BalloonTextChar"/>
    <w:uiPriority w:val="99"/>
    <w:semiHidden/>
    <w:unhideWhenUsed/>
    <w:rsid w:val="00AE6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52B"/>
    <w:rPr>
      <w:rFonts w:ascii="Tahoma" w:hAnsi="Tahoma" w:cs="Tahoma"/>
      <w:sz w:val="16"/>
      <w:szCs w:val="16"/>
    </w:rPr>
  </w:style>
  <w:style w:type="paragraph" w:styleId="Title">
    <w:name w:val="Title"/>
    <w:basedOn w:val="Normal"/>
    <w:next w:val="Normal"/>
    <w:link w:val="TitleChar"/>
    <w:uiPriority w:val="10"/>
    <w:qFormat/>
    <w:rsid w:val="00592A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2A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2AC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92AC3"/>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26FB0"/>
    <w:rPr>
      <w:rFonts w:ascii="Arial" w:eastAsiaTheme="majorEastAsia" w:hAnsi="Arial" w:cs="Arial"/>
      <w:b/>
      <w:bCs/>
      <w:color w:val="175586"/>
      <w:sz w:val="28"/>
      <w:szCs w:val="28"/>
      <w:lang w:val="en-GB"/>
    </w:rPr>
  </w:style>
  <w:style w:type="character" w:customStyle="1" w:styleId="Heading4Char">
    <w:name w:val="Heading 4 Char"/>
    <w:basedOn w:val="DefaultParagraphFont"/>
    <w:link w:val="Heading4"/>
    <w:uiPriority w:val="9"/>
    <w:rsid w:val="00026FB0"/>
    <w:rPr>
      <w:rFonts w:ascii="Arial" w:eastAsiaTheme="majorEastAsia" w:hAnsi="Arial" w:cs="Arial"/>
      <w:bCs/>
      <w:color w:val="1F497D" w:themeColor="text2"/>
      <w:sz w:val="28"/>
      <w:szCs w:val="28"/>
      <w:lang w:val="en-GB"/>
    </w:rPr>
  </w:style>
  <w:style w:type="paragraph" w:styleId="TOC3">
    <w:name w:val="toc 3"/>
    <w:basedOn w:val="Normal"/>
    <w:next w:val="Normal"/>
    <w:autoRedefine/>
    <w:uiPriority w:val="39"/>
    <w:unhideWhenUsed/>
    <w:rsid w:val="00841E99"/>
    <w:pPr>
      <w:spacing w:after="100"/>
      <w:ind w:left="440"/>
    </w:pPr>
  </w:style>
  <w:style w:type="paragraph" w:styleId="NoSpacing">
    <w:name w:val="No Spacing"/>
    <w:uiPriority w:val="1"/>
    <w:qFormat/>
    <w:rsid w:val="00D84885"/>
    <w:pPr>
      <w:spacing w:after="0" w:line="240" w:lineRule="auto"/>
    </w:pPr>
    <w:rPr>
      <w:rFonts w:ascii="Arial" w:hAnsi="Arial" w:cs="Arial"/>
    </w:rPr>
  </w:style>
  <w:style w:type="character" w:styleId="CommentReference">
    <w:name w:val="annotation reference"/>
    <w:basedOn w:val="DefaultParagraphFont"/>
    <w:uiPriority w:val="99"/>
    <w:semiHidden/>
    <w:unhideWhenUsed/>
    <w:rsid w:val="009766B2"/>
    <w:rPr>
      <w:sz w:val="16"/>
      <w:szCs w:val="16"/>
    </w:rPr>
  </w:style>
  <w:style w:type="paragraph" w:styleId="CommentText">
    <w:name w:val="annotation text"/>
    <w:basedOn w:val="Normal"/>
    <w:link w:val="CommentTextChar"/>
    <w:uiPriority w:val="99"/>
    <w:semiHidden/>
    <w:unhideWhenUsed/>
    <w:rsid w:val="009766B2"/>
    <w:pPr>
      <w:spacing w:line="240" w:lineRule="auto"/>
    </w:pPr>
    <w:rPr>
      <w:sz w:val="20"/>
      <w:szCs w:val="20"/>
    </w:rPr>
  </w:style>
  <w:style w:type="character" w:customStyle="1" w:styleId="CommentTextChar">
    <w:name w:val="Comment Text Char"/>
    <w:basedOn w:val="DefaultParagraphFont"/>
    <w:link w:val="CommentText"/>
    <w:uiPriority w:val="99"/>
    <w:semiHidden/>
    <w:rsid w:val="009766B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766B2"/>
    <w:rPr>
      <w:b/>
      <w:bCs/>
    </w:rPr>
  </w:style>
  <w:style w:type="character" w:customStyle="1" w:styleId="CommentSubjectChar">
    <w:name w:val="Comment Subject Char"/>
    <w:basedOn w:val="CommentTextChar"/>
    <w:link w:val="CommentSubject"/>
    <w:uiPriority w:val="99"/>
    <w:semiHidden/>
    <w:rsid w:val="009766B2"/>
    <w:rPr>
      <w:rFonts w:ascii="Arial" w:hAnsi="Arial" w:cs="Arial"/>
      <w:b/>
      <w:bCs/>
      <w:sz w:val="20"/>
      <w:szCs w:val="20"/>
    </w:rPr>
  </w:style>
  <w:style w:type="paragraph" w:customStyle="1" w:styleId="TextLetter">
    <w:name w:val="Text Letter"/>
    <w:basedOn w:val="Normal"/>
    <w:rsid w:val="00CC59E6"/>
    <w:pPr>
      <w:tabs>
        <w:tab w:val="right" w:pos="7920"/>
      </w:tabs>
      <w:spacing w:after="100" w:afterAutospacing="1" w:line="240" w:lineRule="auto"/>
      <w:jc w:val="both"/>
    </w:pPr>
    <w:rPr>
      <w:rFonts w:ascii="Arial Narrow" w:eastAsia="Times New Roman" w:hAnsi="Arial Narrow" w:cs="Times New Roman"/>
      <w:szCs w:val="20"/>
    </w:rPr>
  </w:style>
  <w:style w:type="paragraph" w:customStyle="1" w:styleId="Default">
    <w:name w:val="Default"/>
    <w:rsid w:val="00777DB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AA6B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B6C"/>
    <w:rPr>
      <w:rFonts w:ascii="Arial" w:hAnsi="Arial" w:cs="Arial"/>
      <w:sz w:val="20"/>
      <w:szCs w:val="20"/>
    </w:rPr>
  </w:style>
  <w:style w:type="character" w:styleId="FootnoteReference">
    <w:name w:val="footnote reference"/>
    <w:basedOn w:val="DefaultParagraphFont"/>
    <w:uiPriority w:val="99"/>
    <w:semiHidden/>
    <w:unhideWhenUsed/>
    <w:rsid w:val="00AA6B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AA2E8-59F3-4EF6-96BC-109B62E5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WALGA</Company>
  <LinksUpToDate>false</LinksUpToDate>
  <CharactersWithSpaces>15370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Hansom</dc:creator>
  <cp:lastModifiedBy>Tazra Hawkins</cp:lastModifiedBy>
  <cp:revision>4</cp:revision>
  <cp:lastPrinted>2018-06-01T04:03:00Z</cp:lastPrinted>
  <dcterms:created xsi:type="dcterms:W3CDTF">2019-08-30T05:04:00Z</dcterms:created>
  <dcterms:modified xsi:type="dcterms:W3CDTF">2019-09-13T02:17:00Z</dcterms:modified>
</cp:coreProperties>
</file>